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335A7" w14:textId="7AF83A58" w:rsidR="00C370D4" w:rsidRPr="00BF5255" w:rsidRDefault="00802C0D" w:rsidP="00C370D4">
      <w:pPr>
        <w:pStyle w:val="Normal1"/>
        <w:tabs>
          <w:tab w:val="left" w:pos="9639"/>
        </w:tabs>
        <w:spacing w:line="240" w:lineRule="auto"/>
        <w:ind w:right="131"/>
        <w:rPr>
          <w:i/>
          <w:color w:val="auto"/>
          <w:sz w:val="24"/>
        </w:rPr>
      </w:pPr>
      <w:bookmarkStart w:id="0" w:name="_GoBack"/>
      <w:r w:rsidRPr="00BF5255">
        <w:rPr>
          <w:rFonts w:ascii="Times New Roman" w:hAnsi="Times New Roman"/>
          <w:noProof/>
          <w:color w:val="auto"/>
          <w:lang w:eastAsia="en-US"/>
        </w:rPr>
        <w:drawing>
          <wp:anchor distT="0" distB="0" distL="114300" distR="114300" simplePos="0" relativeHeight="251662336" behindDoc="1" locked="0" layoutInCell="1" allowOverlap="1" wp14:anchorId="593B0CDA" wp14:editId="4950651D">
            <wp:simplePos x="0" y="0"/>
            <wp:positionH relativeFrom="margin">
              <wp:posOffset>1562100</wp:posOffset>
            </wp:positionH>
            <wp:positionV relativeFrom="paragraph">
              <wp:posOffset>-114300</wp:posOffset>
            </wp:positionV>
            <wp:extent cx="2871074" cy="933450"/>
            <wp:effectExtent l="0" t="0" r="5715" b="0"/>
            <wp:wrapNone/>
            <wp:docPr id="2" name="Picture 2" descr="TURKPA new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KPA new logo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71074" cy="933450"/>
                    </a:xfrm>
                    <a:prstGeom prst="rect">
                      <a:avLst/>
                    </a:prstGeom>
                    <a:noFill/>
                  </pic:spPr>
                </pic:pic>
              </a:graphicData>
            </a:graphic>
            <wp14:sizeRelH relativeFrom="page">
              <wp14:pctWidth>0</wp14:pctWidth>
            </wp14:sizeRelH>
            <wp14:sizeRelV relativeFrom="page">
              <wp14:pctHeight>0</wp14:pctHeight>
            </wp14:sizeRelV>
          </wp:anchor>
        </w:drawing>
      </w:r>
      <w:bookmarkEnd w:id="0"/>
      <w:r w:rsidR="00C370D4" w:rsidRPr="00BF5255">
        <w:rPr>
          <w:color w:val="auto"/>
        </w:rPr>
        <w:tab/>
      </w:r>
    </w:p>
    <w:p w14:paraId="07BE4CAB" w14:textId="00C75AEF" w:rsidR="00C370D4" w:rsidRPr="00BF5255" w:rsidRDefault="00C370D4" w:rsidP="00C370D4">
      <w:pPr>
        <w:pStyle w:val="Normal1"/>
        <w:tabs>
          <w:tab w:val="left" w:pos="9639"/>
        </w:tabs>
        <w:spacing w:line="240" w:lineRule="auto"/>
        <w:ind w:right="131"/>
        <w:jc w:val="center"/>
        <w:rPr>
          <w:i/>
          <w:color w:val="auto"/>
          <w:sz w:val="24"/>
        </w:rPr>
      </w:pPr>
      <w:r w:rsidRPr="00BF5255">
        <w:rPr>
          <w:i/>
          <w:color w:val="auto"/>
          <w:sz w:val="24"/>
        </w:rPr>
        <w:t xml:space="preserve">         </w:t>
      </w:r>
    </w:p>
    <w:p w14:paraId="2A8FFF7C" w14:textId="03BA5847" w:rsidR="00C370D4" w:rsidRPr="00BF5255" w:rsidRDefault="00C370D4" w:rsidP="00C370D4">
      <w:pPr>
        <w:pStyle w:val="Normal1"/>
        <w:tabs>
          <w:tab w:val="left" w:pos="9639"/>
        </w:tabs>
        <w:spacing w:line="360" w:lineRule="auto"/>
        <w:ind w:left="5760"/>
        <w:jc w:val="right"/>
        <w:rPr>
          <w:i/>
          <w:color w:val="auto"/>
          <w:sz w:val="24"/>
        </w:rPr>
      </w:pPr>
      <w:r w:rsidRPr="00BF5255">
        <w:rPr>
          <w:i/>
          <w:color w:val="auto"/>
          <w:sz w:val="24"/>
        </w:rPr>
        <w:t xml:space="preserve"> </w:t>
      </w:r>
    </w:p>
    <w:p w14:paraId="173251D3" w14:textId="29C78124" w:rsidR="00C370D4" w:rsidRPr="00BF5255" w:rsidRDefault="00C370D4" w:rsidP="00C370D4">
      <w:pPr>
        <w:tabs>
          <w:tab w:val="left" w:pos="9639"/>
        </w:tabs>
        <w:spacing w:after="360" w:line="480" w:lineRule="auto"/>
        <w:contextualSpacing/>
        <w:rPr>
          <w:rFonts w:ascii="Arial" w:eastAsia="Times New Roman" w:hAnsi="Arial" w:cs="Arial"/>
          <w:sz w:val="28"/>
          <w:szCs w:val="28"/>
        </w:rPr>
      </w:pPr>
    </w:p>
    <w:p w14:paraId="0079DCA7" w14:textId="77777777" w:rsidR="00C370D4" w:rsidRPr="00BF5255" w:rsidRDefault="00C370D4" w:rsidP="00C370D4">
      <w:pPr>
        <w:tabs>
          <w:tab w:val="left" w:pos="9639"/>
        </w:tabs>
        <w:spacing w:after="360" w:line="480" w:lineRule="auto"/>
        <w:contextualSpacing/>
        <w:jc w:val="center"/>
        <w:rPr>
          <w:rFonts w:ascii="Arial" w:eastAsia="Times New Roman" w:hAnsi="Arial" w:cs="Arial"/>
          <w:sz w:val="28"/>
          <w:szCs w:val="28"/>
        </w:rPr>
      </w:pPr>
      <w:r w:rsidRPr="00BF5255">
        <w:rPr>
          <w:rFonts w:ascii="Arial" w:eastAsia="Times New Roman" w:hAnsi="Arial" w:cs="Arial"/>
          <w:b/>
          <w:noProof/>
        </w:rPr>
        <mc:AlternateContent>
          <mc:Choice Requires="wps">
            <w:drawing>
              <wp:anchor distT="0" distB="0" distL="114300" distR="114300" simplePos="0" relativeHeight="251660288" behindDoc="0" locked="0" layoutInCell="1" allowOverlap="1" wp14:anchorId="05C9D432" wp14:editId="2ADE38DD">
                <wp:simplePos x="0" y="0"/>
                <wp:positionH relativeFrom="column">
                  <wp:posOffset>89536</wp:posOffset>
                </wp:positionH>
                <wp:positionV relativeFrom="paragraph">
                  <wp:posOffset>297180</wp:posOffset>
                </wp:positionV>
                <wp:extent cx="596265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59626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29E614C"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23.4pt" to="476.5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" strokecolor="black [3200]" strokeweight="1pt">
                <v:stroke joinstyle="miter"/>
              </v:line>
            </w:pict>
          </mc:Fallback>
        </mc:AlternateContent>
      </w:r>
      <w:r w:rsidRPr="00BF5255">
        <w:rPr>
          <w:rFonts w:ascii="Arial" w:eastAsia="Times New Roman" w:hAnsi="Arial" w:cs="Arial"/>
          <w:sz w:val="28"/>
          <w:szCs w:val="28"/>
        </w:rPr>
        <w:t>PARLIAMENTARY ASSEMBLY OF TURKIC STATES</w:t>
      </w:r>
    </w:p>
    <w:p w14:paraId="6A1B69F7" w14:textId="77777777" w:rsidR="00802C0D" w:rsidRPr="00BF5255" w:rsidRDefault="00802C0D" w:rsidP="00802C0D">
      <w:pPr>
        <w:tabs>
          <w:tab w:val="left" w:pos="709"/>
          <w:tab w:val="left" w:pos="851"/>
        </w:tabs>
        <w:spacing w:line="276" w:lineRule="auto"/>
        <w:ind w:right="-279"/>
        <w:jc w:val="center"/>
        <w:rPr>
          <w:rFonts w:ascii="Arial" w:eastAsia="Times New Roman" w:hAnsi="Arial" w:cs="Arial"/>
          <w:i/>
          <w:sz w:val="28"/>
          <w:szCs w:val="28"/>
        </w:rPr>
      </w:pPr>
    </w:p>
    <w:p w14:paraId="1D863A9A" w14:textId="1FE332AA" w:rsidR="00C370D4" w:rsidRPr="00BF5255" w:rsidRDefault="00C370D4" w:rsidP="00802C0D">
      <w:pPr>
        <w:tabs>
          <w:tab w:val="left" w:pos="709"/>
          <w:tab w:val="left" w:pos="851"/>
        </w:tabs>
        <w:spacing w:line="276" w:lineRule="auto"/>
        <w:ind w:right="-279"/>
        <w:jc w:val="center"/>
        <w:rPr>
          <w:rFonts w:ascii="Arial" w:hAnsi="Arial" w:cs="Arial"/>
          <w:b/>
          <w:bCs/>
          <w:smallCaps/>
          <w:sz w:val="28"/>
          <w:szCs w:val="28"/>
        </w:rPr>
      </w:pPr>
      <w:r w:rsidRPr="00BF5255">
        <w:rPr>
          <w:rFonts w:ascii="Arial" w:hAnsi="Arial" w:cs="Arial"/>
          <w:b/>
          <w:bCs/>
          <w:smallCaps/>
          <w:sz w:val="28"/>
          <w:szCs w:val="28"/>
        </w:rPr>
        <w:t xml:space="preserve">ELEVENTH MEETING </w:t>
      </w:r>
    </w:p>
    <w:p w14:paraId="4182E33D" w14:textId="77777777" w:rsidR="00C370D4" w:rsidRPr="00BF5255" w:rsidRDefault="00C370D4" w:rsidP="00802C0D">
      <w:pPr>
        <w:tabs>
          <w:tab w:val="left" w:pos="709"/>
          <w:tab w:val="left" w:pos="851"/>
        </w:tabs>
        <w:spacing w:line="276" w:lineRule="auto"/>
        <w:ind w:right="-279"/>
        <w:jc w:val="center"/>
        <w:rPr>
          <w:rFonts w:ascii="Arial" w:hAnsi="Arial" w:cs="Arial"/>
          <w:b/>
          <w:bCs/>
          <w:smallCaps/>
          <w:sz w:val="28"/>
          <w:szCs w:val="28"/>
        </w:rPr>
      </w:pPr>
      <w:r w:rsidRPr="00BF5255">
        <w:rPr>
          <w:rFonts w:ascii="Arial" w:hAnsi="Arial" w:cs="Arial"/>
          <w:b/>
          <w:bCs/>
          <w:smallCaps/>
          <w:sz w:val="28"/>
          <w:szCs w:val="28"/>
        </w:rPr>
        <w:t>OF THE TURKPA COMMISSION ON ENVIRONMENT, NATURAL RESOURCES AND HEALTH PROTECTION</w:t>
      </w:r>
    </w:p>
    <w:p w14:paraId="555464F7" w14:textId="77777777" w:rsidR="00C370D4" w:rsidRPr="00BF5255" w:rsidRDefault="00C370D4" w:rsidP="00802C0D">
      <w:pPr>
        <w:tabs>
          <w:tab w:val="left" w:pos="709"/>
          <w:tab w:val="left" w:pos="851"/>
        </w:tabs>
        <w:ind w:right="-279"/>
        <w:jc w:val="center"/>
        <w:rPr>
          <w:rFonts w:ascii="Arial" w:hAnsi="Arial" w:cs="Arial"/>
          <w:b/>
          <w:bCs/>
          <w:smallCaps/>
          <w:sz w:val="28"/>
          <w:szCs w:val="28"/>
          <w:lang w:val="en-GB"/>
        </w:rPr>
      </w:pPr>
      <w:r w:rsidRPr="00BF5255">
        <w:rPr>
          <w:rFonts w:ascii="Arial" w:hAnsi="Arial" w:cs="Arial"/>
          <w:b/>
          <w:bCs/>
          <w:smallCaps/>
          <w:sz w:val="28"/>
          <w:szCs w:val="28"/>
          <w:lang w:val="en-GB"/>
        </w:rPr>
        <w:t>REPORT</w:t>
      </w:r>
    </w:p>
    <w:p w14:paraId="21B22E5A" w14:textId="5CD9CD81" w:rsidR="00C370D4" w:rsidRPr="00BF5255" w:rsidRDefault="002244A7" w:rsidP="00802C0D">
      <w:pPr>
        <w:tabs>
          <w:tab w:val="left" w:pos="709"/>
          <w:tab w:val="left" w:pos="851"/>
        </w:tabs>
        <w:ind w:right="-279"/>
        <w:jc w:val="center"/>
        <w:rPr>
          <w:rFonts w:ascii="Arial" w:hAnsi="Arial" w:cs="Arial"/>
          <w:b/>
          <w:bCs/>
          <w:smallCaps/>
          <w:sz w:val="28"/>
          <w:szCs w:val="28"/>
        </w:rPr>
      </w:pPr>
      <w:r w:rsidRPr="00BF5255">
        <w:rPr>
          <w:rFonts w:ascii="Arial" w:hAnsi="Arial" w:cs="Arial"/>
          <w:b/>
          <w:bCs/>
          <w:smallCaps/>
          <w:sz w:val="28"/>
          <w:szCs w:val="28"/>
        </w:rPr>
        <w:t>21</w:t>
      </w:r>
      <w:r w:rsidR="00C370D4" w:rsidRPr="00BF5255">
        <w:rPr>
          <w:rFonts w:ascii="Arial" w:hAnsi="Arial" w:cs="Arial"/>
          <w:b/>
          <w:bCs/>
          <w:smallCaps/>
          <w:sz w:val="28"/>
          <w:szCs w:val="28"/>
        </w:rPr>
        <w:t xml:space="preserve"> </w:t>
      </w:r>
      <w:r w:rsidR="00C370D4" w:rsidRPr="00BF5255">
        <w:rPr>
          <w:rFonts w:ascii="Arial" w:hAnsi="Arial" w:cs="Arial"/>
          <w:b/>
          <w:sz w:val="28"/>
          <w:szCs w:val="28"/>
        </w:rPr>
        <w:t>May</w:t>
      </w:r>
      <w:r w:rsidR="00C370D4" w:rsidRPr="00BF5255">
        <w:rPr>
          <w:rFonts w:ascii="Arial" w:hAnsi="Arial" w:cs="Arial"/>
          <w:b/>
          <w:bCs/>
          <w:smallCaps/>
          <w:sz w:val="28"/>
          <w:szCs w:val="28"/>
        </w:rPr>
        <w:t xml:space="preserve"> 2026</w:t>
      </w:r>
    </w:p>
    <w:p w14:paraId="4BA8E546" w14:textId="2C94838C" w:rsidR="00C370D4" w:rsidRPr="00BF5255" w:rsidRDefault="002244A7" w:rsidP="00802C0D">
      <w:pPr>
        <w:tabs>
          <w:tab w:val="left" w:pos="709"/>
          <w:tab w:val="left" w:pos="851"/>
        </w:tabs>
        <w:ind w:right="-279"/>
        <w:jc w:val="center"/>
        <w:rPr>
          <w:rFonts w:ascii="Arial" w:hAnsi="Arial" w:cs="Arial"/>
          <w:b/>
          <w:sz w:val="28"/>
          <w:szCs w:val="28"/>
        </w:rPr>
      </w:pPr>
      <w:r w:rsidRPr="00BF5255">
        <w:rPr>
          <w:rFonts w:ascii="Arial" w:hAnsi="Arial" w:cs="Arial"/>
          <w:b/>
          <w:smallCaps/>
          <w:sz w:val="28"/>
          <w:szCs w:val="28"/>
        </w:rPr>
        <w:t>ANKARA</w:t>
      </w:r>
    </w:p>
    <w:p w14:paraId="613CFA24" w14:textId="5BE91FEF" w:rsidR="00DF057A" w:rsidRPr="00BF5255" w:rsidRDefault="00C370D4" w:rsidP="00802C0D">
      <w:pPr>
        <w:ind w:right="-279"/>
        <w:jc w:val="center"/>
        <w:rPr>
          <w:rFonts w:ascii="Arial" w:hAnsi="Arial" w:cs="Arial"/>
          <w:b/>
          <w:bCs/>
          <w:sz w:val="28"/>
          <w:szCs w:val="28"/>
        </w:rPr>
      </w:pPr>
      <w:r w:rsidRPr="00BF5255">
        <w:rPr>
          <w:rFonts w:ascii="Arial" w:hAnsi="Arial" w:cs="Arial"/>
          <w:b/>
          <w:bCs/>
          <w:sz w:val="28"/>
          <w:szCs w:val="28"/>
        </w:rPr>
        <w:t>“ENVIRONMENTAL POLLUTION IN TURKPA MEMBER STATES: CHALLENGES AND COOPERATION PROSPECTS”</w:t>
      </w:r>
    </w:p>
    <w:p w14:paraId="1D2756FB" w14:textId="77777777" w:rsidR="00C370D4" w:rsidRPr="00BF5255" w:rsidRDefault="00C370D4" w:rsidP="00802C0D">
      <w:pPr>
        <w:ind w:right="-279"/>
        <w:rPr>
          <w:rFonts w:ascii="Arial" w:hAnsi="Arial" w:cs="Arial"/>
          <w:b/>
          <w:bCs/>
          <w:sz w:val="28"/>
          <w:szCs w:val="28"/>
        </w:rPr>
      </w:pPr>
    </w:p>
    <w:p w14:paraId="2F13CAA7" w14:textId="197AF575" w:rsidR="00B51244" w:rsidRPr="00BF5255" w:rsidRDefault="00B51244" w:rsidP="00802C0D">
      <w:pPr>
        <w:ind w:right="-279"/>
        <w:rPr>
          <w:rFonts w:ascii="Arial" w:hAnsi="Arial" w:cs="Arial"/>
          <w:b/>
          <w:bCs/>
          <w:sz w:val="28"/>
          <w:szCs w:val="28"/>
        </w:rPr>
      </w:pPr>
      <w:r w:rsidRPr="00BF5255">
        <w:rPr>
          <w:rFonts w:ascii="Arial" w:hAnsi="Arial" w:cs="Arial"/>
          <w:b/>
          <w:bCs/>
          <w:sz w:val="28"/>
          <w:szCs w:val="28"/>
        </w:rPr>
        <w:t>INTRODUCTION</w:t>
      </w:r>
    </w:p>
    <w:p w14:paraId="4C70E923" w14:textId="3758D0CA" w:rsidR="00B51244" w:rsidRPr="00BF5255" w:rsidRDefault="00773A70" w:rsidP="00802C0D">
      <w:pPr>
        <w:ind w:right="-279"/>
        <w:jc w:val="both"/>
        <w:rPr>
          <w:rFonts w:ascii="Arial" w:hAnsi="Arial" w:cs="Arial"/>
          <w:bCs/>
          <w:sz w:val="28"/>
          <w:szCs w:val="28"/>
        </w:rPr>
      </w:pPr>
      <w:r w:rsidRPr="00BF5255">
        <w:rPr>
          <w:rFonts w:ascii="Arial" w:hAnsi="Arial" w:cs="Arial"/>
          <w:bCs/>
          <w:sz w:val="28"/>
          <w:szCs w:val="28"/>
        </w:rPr>
        <w:t>In accordance with the Plan of Activities for the year 2026, adopted during the 14th Plenary Session of the TURKPA, held in Astana, Kazakhstan, and the Strategic Roadmap of the TURKPA for 2023-2028, it was decided to work on the subject “Environmental Pollution in TURKPA Member States: Challenges and Cooperation Prospects” as a main item of the Agenda for the Eleventh Meeting of the TURKPA Commission on Environment, Natural Resources and Health Protection</w:t>
      </w:r>
      <w:r w:rsidR="00C370D4" w:rsidRPr="00BF5255">
        <w:rPr>
          <w:rFonts w:ascii="Arial" w:hAnsi="Arial" w:cs="Arial"/>
          <w:bCs/>
          <w:sz w:val="28"/>
          <w:szCs w:val="28"/>
        </w:rPr>
        <w:t xml:space="preserve"> as the main topic of the agenda of the Eleventh meeting of the Commission.  </w:t>
      </w:r>
    </w:p>
    <w:p w14:paraId="5B61B9DA" w14:textId="777C0979" w:rsidR="00B51244" w:rsidRPr="00BF5255" w:rsidRDefault="00B51244" w:rsidP="00802C0D">
      <w:pPr>
        <w:ind w:right="-279"/>
        <w:jc w:val="both"/>
        <w:rPr>
          <w:rFonts w:ascii="Arial" w:hAnsi="Arial" w:cs="Arial"/>
          <w:bCs/>
          <w:sz w:val="28"/>
          <w:szCs w:val="28"/>
        </w:rPr>
      </w:pPr>
      <w:r w:rsidRPr="00BF5255">
        <w:rPr>
          <w:rFonts w:ascii="Arial" w:hAnsi="Arial" w:cs="Arial"/>
          <w:bCs/>
          <w:sz w:val="28"/>
          <w:szCs w:val="28"/>
        </w:rPr>
        <w:t xml:space="preserve">In recent years, the Turkic states have increasingly engaged in collaborative efforts to address environmental pollution, climate change, and sustainable development both within their national contexts and on international platforms. These efforts reflect a growing awareness of the interconnected nature of </w:t>
      </w:r>
      <w:r w:rsidRPr="00BF5255">
        <w:rPr>
          <w:rFonts w:ascii="Arial" w:hAnsi="Arial" w:cs="Arial"/>
          <w:bCs/>
          <w:sz w:val="28"/>
          <w:szCs w:val="28"/>
        </w:rPr>
        <w:lastRenderedPageBreak/>
        <w:t>ecological risks and underscore the importance of collective action to protect environmental quality and ensure long</w:t>
      </w:r>
      <w:r w:rsidRPr="00BF5255">
        <w:rPr>
          <w:rFonts w:ascii="Cambria Math" w:hAnsi="Cambria Math" w:cs="Cambria Math"/>
          <w:bCs/>
          <w:sz w:val="28"/>
          <w:szCs w:val="28"/>
        </w:rPr>
        <w:t>‑</w:t>
      </w:r>
      <w:r w:rsidRPr="00BF5255">
        <w:rPr>
          <w:rFonts w:ascii="Arial" w:hAnsi="Arial" w:cs="Arial"/>
          <w:bCs/>
          <w:sz w:val="28"/>
          <w:szCs w:val="28"/>
        </w:rPr>
        <w:t>term resilience across the region.</w:t>
      </w:r>
    </w:p>
    <w:p w14:paraId="2A70A840" w14:textId="1E93DCAB" w:rsidR="00B51244" w:rsidRPr="00BF5255" w:rsidRDefault="00B51244" w:rsidP="00802C0D">
      <w:pPr>
        <w:ind w:right="-279"/>
        <w:jc w:val="both"/>
        <w:rPr>
          <w:rFonts w:ascii="Arial" w:hAnsi="Arial" w:cs="Arial"/>
          <w:i/>
          <w:sz w:val="28"/>
          <w:szCs w:val="28"/>
        </w:rPr>
      </w:pPr>
      <w:r w:rsidRPr="00BF5255">
        <w:rPr>
          <w:rFonts w:ascii="Arial" w:hAnsi="Arial" w:cs="Arial"/>
          <w:bCs/>
          <w:sz w:val="28"/>
          <w:szCs w:val="28"/>
        </w:rPr>
        <w:t>Environmental pollution, climate change, and related ecological challenges are not only global concerns but also have significant and direct impacts on the Turkic states as well. The region’s diverse geography from arid zones and semi</w:t>
      </w:r>
      <w:r w:rsidRPr="00BF5255">
        <w:rPr>
          <w:rFonts w:ascii="Cambria Math" w:hAnsi="Cambria Math" w:cs="Cambria Math"/>
          <w:bCs/>
          <w:sz w:val="28"/>
          <w:szCs w:val="28"/>
        </w:rPr>
        <w:t>‑</w:t>
      </w:r>
      <w:r w:rsidRPr="00BF5255">
        <w:rPr>
          <w:rFonts w:ascii="Arial" w:hAnsi="Arial" w:cs="Arial"/>
          <w:bCs/>
          <w:sz w:val="28"/>
          <w:szCs w:val="28"/>
        </w:rPr>
        <w:t xml:space="preserve">deserts to high mountains, steppe plains, and water basins makes many areas particularly vulnerable to land degradation, desertification, water scarcity, air pollution, and biodiversity loss. These pressures exacerbate public health risks, reduce agricultural productivity, strain water resources, and pose complex economic challenges. As a result, Turkic states face both </w:t>
      </w:r>
      <w:r w:rsidR="00AF4037" w:rsidRPr="00BF5255">
        <w:rPr>
          <w:rFonts w:ascii="Arial" w:hAnsi="Arial" w:cs="Arial"/>
          <w:bCs/>
          <w:sz w:val="28"/>
          <w:szCs w:val="28"/>
        </w:rPr>
        <w:t xml:space="preserve">common </w:t>
      </w:r>
      <w:r w:rsidRPr="00BF5255">
        <w:rPr>
          <w:rFonts w:ascii="Arial" w:hAnsi="Arial" w:cs="Arial"/>
          <w:bCs/>
          <w:sz w:val="28"/>
          <w:szCs w:val="28"/>
        </w:rPr>
        <w:t>and country</w:t>
      </w:r>
      <w:r w:rsidRPr="00BF5255">
        <w:rPr>
          <w:rFonts w:ascii="Cambria Math" w:hAnsi="Cambria Math" w:cs="Cambria Math"/>
          <w:bCs/>
          <w:sz w:val="28"/>
          <w:szCs w:val="28"/>
        </w:rPr>
        <w:t>‑</w:t>
      </w:r>
      <w:r w:rsidRPr="00BF5255">
        <w:rPr>
          <w:rFonts w:ascii="Arial" w:hAnsi="Arial" w:cs="Arial"/>
          <w:bCs/>
          <w:sz w:val="28"/>
          <w:szCs w:val="28"/>
        </w:rPr>
        <w:t>specific environmental threats, highlighting the urgency of coordinated regional action and the adoption of innovative solutions to mitigate risks, enhance resilience, and promote sustainable development across all member countries.</w:t>
      </w:r>
      <w:r w:rsidR="00AF4037" w:rsidRPr="00BF5255">
        <w:rPr>
          <w:rFonts w:ascii="Arial" w:hAnsi="Arial" w:cs="Arial"/>
          <w:bCs/>
          <w:sz w:val="28"/>
          <w:szCs w:val="28"/>
        </w:rPr>
        <w:t xml:space="preserve"> </w:t>
      </w:r>
    </w:p>
    <w:p w14:paraId="1C540639" w14:textId="6E01945A" w:rsidR="00B51244" w:rsidRPr="00BF5255" w:rsidRDefault="00B51244" w:rsidP="00802C0D">
      <w:pPr>
        <w:ind w:right="-279"/>
        <w:jc w:val="both"/>
        <w:rPr>
          <w:rFonts w:ascii="Arial" w:hAnsi="Arial" w:cs="Arial"/>
          <w:bCs/>
          <w:sz w:val="28"/>
          <w:szCs w:val="28"/>
        </w:rPr>
      </w:pPr>
      <w:r w:rsidRPr="00BF5255">
        <w:rPr>
          <w:rFonts w:ascii="Arial" w:hAnsi="Arial" w:cs="Arial"/>
          <w:bCs/>
          <w:sz w:val="28"/>
          <w:szCs w:val="28"/>
        </w:rPr>
        <w:t>A pivotal moment in this trajectory was the 29th session of the United Nations Framework Convention on Climate Change (COP29), hosted in Baku, Azerbaijan, in November 2024. For the first time in the history of the Turkic world, a COP conference was convened in a Turkic state, bringing together world leaders, ministers, experts, and stakeholders to discuss concrete climate action, adaptation measures, and the acceleration of sustainable solutions. Representatives from Turkic states participated in high</w:t>
      </w:r>
      <w:r w:rsidRPr="00BF5255">
        <w:rPr>
          <w:rFonts w:ascii="Cambria Math" w:hAnsi="Cambria Math" w:cs="Cambria Math"/>
          <w:bCs/>
          <w:sz w:val="28"/>
          <w:szCs w:val="28"/>
        </w:rPr>
        <w:t>‑</w:t>
      </w:r>
      <w:r w:rsidRPr="00BF5255">
        <w:rPr>
          <w:rFonts w:ascii="Arial" w:hAnsi="Arial" w:cs="Arial"/>
          <w:bCs/>
          <w:sz w:val="28"/>
          <w:szCs w:val="28"/>
        </w:rPr>
        <w:t>level panels and thematic events, including the forum on “Youth at the Forefront of Climate Action”, which highlighted the role of young people in climate policy and engagement across Central Asia and the broader Turkic community.</w:t>
      </w:r>
    </w:p>
    <w:p w14:paraId="59159C5E" w14:textId="7C2FB0D9" w:rsidR="00B51244" w:rsidRPr="00BF5255" w:rsidRDefault="00B51244" w:rsidP="00802C0D">
      <w:pPr>
        <w:ind w:right="-279"/>
        <w:jc w:val="both"/>
        <w:rPr>
          <w:rFonts w:ascii="Arial" w:hAnsi="Arial" w:cs="Arial"/>
          <w:i/>
          <w:sz w:val="28"/>
          <w:szCs w:val="28"/>
        </w:rPr>
      </w:pPr>
      <w:r w:rsidRPr="00BF5255">
        <w:rPr>
          <w:rFonts w:ascii="Arial" w:hAnsi="Arial" w:cs="Arial"/>
          <w:bCs/>
          <w:sz w:val="28"/>
          <w:szCs w:val="28"/>
        </w:rPr>
        <w:t xml:space="preserve">During COP29, the first Meeting of Ministers responsible for the Environment and Ecology of the Organization of Turkic States (OTS) was held in Baku. Ministers from Azerbaijan, Kazakhstan, Kyrgyzstan, Türkiye, Uzbekistan reaffirmed their commitment to strengthen cooperation on environmental protection and sustainable development. A ministerial declaration was adopted, outlining </w:t>
      </w:r>
      <w:r w:rsidR="00AF4037" w:rsidRPr="00BF5255">
        <w:rPr>
          <w:rFonts w:ascii="Arial" w:hAnsi="Arial" w:cs="Arial"/>
          <w:bCs/>
          <w:sz w:val="28"/>
          <w:szCs w:val="28"/>
        </w:rPr>
        <w:t xml:space="preserve">common </w:t>
      </w:r>
      <w:r w:rsidRPr="00BF5255">
        <w:rPr>
          <w:rFonts w:ascii="Arial" w:hAnsi="Arial" w:cs="Arial"/>
          <w:bCs/>
          <w:sz w:val="28"/>
          <w:szCs w:val="28"/>
        </w:rPr>
        <w:t>priorities for biodiversity conservation, climate resilience, low</w:t>
      </w:r>
      <w:r w:rsidRPr="00BF5255">
        <w:rPr>
          <w:rFonts w:ascii="Cambria Math" w:hAnsi="Cambria Math" w:cs="Cambria Math"/>
          <w:bCs/>
          <w:sz w:val="28"/>
          <w:szCs w:val="28"/>
        </w:rPr>
        <w:t>‑</w:t>
      </w:r>
      <w:r w:rsidRPr="00BF5255">
        <w:rPr>
          <w:rFonts w:ascii="Arial" w:hAnsi="Arial" w:cs="Arial"/>
          <w:bCs/>
          <w:sz w:val="28"/>
          <w:szCs w:val="28"/>
        </w:rPr>
        <w:t>carbon transitions, and ecological policy harmonization across the region.</w:t>
      </w:r>
      <w:r w:rsidR="00AF4037" w:rsidRPr="00BF5255">
        <w:rPr>
          <w:rFonts w:ascii="Arial" w:hAnsi="Arial" w:cs="Arial"/>
          <w:bCs/>
          <w:sz w:val="28"/>
          <w:szCs w:val="28"/>
        </w:rPr>
        <w:t xml:space="preserve"> </w:t>
      </w:r>
    </w:p>
    <w:p w14:paraId="3D131C34" w14:textId="54DF357D" w:rsidR="00B51244" w:rsidRPr="00BF5255" w:rsidRDefault="00B51244" w:rsidP="00802C0D">
      <w:pPr>
        <w:ind w:right="-279"/>
        <w:jc w:val="both"/>
        <w:rPr>
          <w:rFonts w:ascii="Arial" w:hAnsi="Arial" w:cs="Arial"/>
          <w:bCs/>
          <w:sz w:val="28"/>
          <w:szCs w:val="28"/>
        </w:rPr>
      </w:pPr>
      <w:r w:rsidRPr="00BF5255">
        <w:rPr>
          <w:rFonts w:ascii="Arial" w:hAnsi="Arial" w:cs="Arial"/>
          <w:bCs/>
          <w:sz w:val="28"/>
          <w:szCs w:val="28"/>
        </w:rPr>
        <w:t>Beyond COP29, joint regional cooperation efforts continued throughout 2024 and into 2025. In Kyrgyzstan, a regional Pre</w:t>
      </w:r>
      <w:r w:rsidRPr="00BF5255">
        <w:rPr>
          <w:rFonts w:ascii="Cambria Math" w:hAnsi="Cambria Math" w:cs="Cambria Math"/>
          <w:bCs/>
          <w:sz w:val="28"/>
          <w:szCs w:val="28"/>
        </w:rPr>
        <w:t>‑</w:t>
      </w:r>
      <w:r w:rsidRPr="00BF5255">
        <w:rPr>
          <w:rFonts w:ascii="Arial" w:hAnsi="Arial" w:cs="Arial"/>
          <w:bCs/>
          <w:sz w:val="28"/>
          <w:szCs w:val="28"/>
        </w:rPr>
        <w:t>COP29 conference on adaptation planning and climate finance was held in Bishkek in September 2024 in collaboration with the United Nations Development Programme (UNDP), focusing on strengthening Central Asian positions ahead of global climate negotiations and enhancing mechanisms for adaptation and climate resilience.</w:t>
      </w:r>
    </w:p>
    <w:p w14:paraId="773D0CA1" w14:textId="1E580870" w:rsidR="00B51244" w:rsidRPr="00BF5255" w:rsidRDefault="00B51244" w:rsidP="00802C0D">
      <w:pPr>
        <w:ind w:right="-279"/>
        <w:jc w:val="both"/>
        <w:rPr>
          <w:rFonts w:ascii="Arial" w:hAnsi="Arial" w:cs="Arial"/>
          <w:i/>
          <w:sz w:val="28"/>
          <w:szCs w:val="28"/>
        </w:rPr>
      </w:pPr>
      <w:r w:rsidRPr="00BF5255">
        <w:rPr>
          <w:rFonts w:ascii="Arial" w:hAnsi="Arial" w:cs="Arial"/>
          <w:bCs/>
          <w:sz w:val="28"/>
          <w:szCs w:val="28"/>
        </w:rPr>
        <w:t xml:space="preserve">Moreover, regional environmental cooperation has extended beyond climate change discussions. Representatives from Uzbekistan, Kazakhstan, and Turkmenistan have engaged in collaborative dialogues focused on biodiversity monitoring and the conservation of migratory species an effort acknowledging the need for joint stewardship of shared </w:t>
      </w:r>
      <w:r w:rsidR="00AF4037" w:rsidRPr="00BF5255">
        <w:rPr>
          <w:rFonts w:ascii="Arial" w:hAnsi="Arial" w:cs="Arial"/>
          <w:bCs/>
          <w:sz w:val="28"/>
          <w:szCs w:val="28"/>
        </w:rPr>
        <w:t xml:space="preserve">transboundary </w:t>
      </w:r>
      <w:r w:rsidRPr="00BF5255">
        <w:rPr>
          <w:rFonts w:ascii="Arial" w:hAnsi="Arial" w:cs="Arial"/>
          <w:bCs/>
          <w:sz w:val="28"/>
          <w:szCs w:val="28"/>
        </w:rPr>
        <w:t xml:space="preserve">ecosystems. These dialogues reinforce the understanding that ecological systems do not respect national borders, and therefore require and cooperative </w:t>
      </w:r>
      <w:r w:rsidR="00AF4037" w:rsidRPr="00BF5255">
        <w:rPr>
          <w:rFonts w:ascii="Arial" w:hAnsi="Arial" w:cs="Arial"/>
          <w:bCs/>
          <w:sz w:val="28"/>
          <w:szCs w:val="28"/>
        </w:rPr>
        <w:t xml:space="preserve">governance and </w:t>
      </w:r>
      <w:r w:rsidRPr="00BF5255">
        <w:rPr>
          <w:rFonts w:ascii="Arial" w:hAnsi="Arial" w:cs="Arial"/>
          <w:bCs/>
          <w:sz w:val="28"/>
          <w:szCs w:val="28"/>
        </w:rPr>
        <w:t>policy design.</w:t>
      </w:r>
      <w:r w:rsidR="00AF4037" w:rsidRPr="00BF5255">
        <w:rPr>
          <w:rFonts w:ascii="Arial" w:hAnsi="Arial" w:cs="Arial"/>
          <w:bCs/>
          <w:sz w:val="28"/>
          <w:szCs w:val="28"/>
        </w:rPr>
        <w:t xml:space="preserve"> </w:t>
      </w:r>
    </w:p>
    <w:p w14:paraId="1E25EFF3" w14:textId="4CF1A6C1" w:rsidR="00B51244" w:rsidRPr="00BF5255" w:rsidRDefault="00B51244" w:rsidP="00802C0D">
      <w:pPr>
        <w:ind w:right="-279"/>
        <w:jc w:val="both"/>
        <w:rPr>
          <w:rFonts w:ascii="Arial" w:hAnsi="Arial" w:cs="Arial"/>
          <w:bCs/>
          <w:sz w:val="28"/>
          <w:szCs w:val="28"/>
        </w:rPr>
      </w:pPr>
      <w:r w:rsidRPr="00BF5255">
        <w:rPr>
          <w:rFonts w:ascii="Arial" w:hAnsi="Arial" w:cs="Arial"/>
          <w:bCs/>
          <w:sz w:val="28"/>
          <w:szCs w:val="28"/>
        </w:rPr>
        <w:t>Türkiye has continued to advance its national environmental agenda as well, presenting long</w:t>
      </w:r>
      <w:r w:rsidRPr="00BF5255">
        <w:rPr>
          <w:rFonts w:ascii="Cambria Math" w:hAnsi="Cambria Math" w:cs="Cambria Math"/>
          <w:bCs/>
          <w:sz w:val="28"/>
          <w:szCs w:val="28"/>
        </w:rPr>
        <w:t>‑</w:t>
      </w:r>
      <w:r w:rsidRPr="00BF5255">
        <w:rPr>
          <w:rFonts w:ascii="Arial" w:hAnsi="Arial" w:cs="Arial"/>
          <w:bCs/>
          <w:sz w:val="28"/>
          <w:szCs w:val="28"/>
        </w:rPr>
        <w:t>term strategies and emphasizing the importance of fraternal cooperation with other Turkic states. At COP29, Türkiye’s environmental officials underscored commitments to sustainable urban development, expanded protected areas, and knowledge</w:t>
      </w:r>
      <w:r w:rsidRPr="00BF5255">
        <w:rPr>
          <w:rFonts w:ascii="Cambria Math" w:hAnsi="Cambria Math" w:cs="Cambria Math"/>
          <w:bCs/>
          <w:sz w:val="28"/>
          <w:szCs w:val="28"/>
        </w:rPr>
        <w:t>‑</w:t>
      </w:r>
      <w:r w:rsidRPr="00BF5255">
        <w:rPr>
          <w:rFonts w:ascii="Arial" w:hAnsi="Arial" w:cs="Arial"/>
          <w:bCs/>
          <w:sz w:val="28"/>
          <w:szCs w:val="28"/>
        </w:rPr>
        <w:t>sharing on effective environmental management practices that could support Turkic states in achieving their sustainability goals.</w:t>
      </w:r>
    </w:p>
    <w:p w14:paraId="44DB6A2A" w14:textId="36037BF4" w:rsidR="00B51244" w:rsidRPr="00BF5255" w:rsidRDefault="00B51244" w:rsidP="00802C0D">
      <w:pPr>
        <w:ind w:right="-279"/>
        <w:jc w:val="both"/>
        <w:rPr>
          <w:rFonts w:ascii="Arial" w:hAnsi="Arial" w:cs="Arial"/>
          <w:i/>
          <w:sz w:val="28"/>
          <w:szCs w:val="28"/>
        </w:rPr>
      </w:pPr>
      <w:r w:rsidRPr="00BF5255">
        <w:rPr>
          <w:rFonts w:ascii="Arial" w:hAnsi="Arial" w:cs="Arial"/>
          <w:bCs/>
          <w:sz w:val="28"/>
          <w:szCs w:val="28"/>
        </w:rPr>
        <w:t xml:space="preserve">Building on this trajectory, </w:t>
      </w:r>
      <w:r w:rsidR="00AF4037" w:rsidRPr="00BF5255">
        <w:rPr>
          <w:rFonts w:ascii="Arial" w:hAnsi="Arial" w:cs="Arial"/>
          <w:bCs/>
          <w:sz w:val="28"/>
          <w:szCs w:val="28"/>
        </w:rPr>
        <w:t xml:space="preserve">Türkiye’s </w:t>
      </w:r>
      <w:r w:rsidRPr="00BF5255">
        <w:rPr>
          <w:rFonts w:ascii="Arial" w:hAnsi="Arial" w:cs="Arial"/>
          <w:bCs/>
          <w:sz w:val="28"/>
          <w:szCs w:val="28"/>
        </w:rPr>
        <w:t xml:space="preserve">COP31 </w:t>
      </w:r>
      <w:r w:rsidR="00AF4037" w:rsidRPr="00BF5255">
        <w:rPr>
          <w:rFonts w:ascii="Arial" w:hAnsi="Arial" w:cs="Arial"/>
          <w:bCs/>
          <w:sz w:val="28"/>
          <w:szCs w:val="28"/>
        </w:rPr>
        <w:t xml:space="preserve">Presidency presents </w:t>
      </w:r>
      <w:r w:rsidRPr="00BF5255">
        <w:rPr>
          <w:rFonts w:ascii="Arial" w:hAnsi="Arial" w:cs="Arial"/>
          <w:bCs/>
          <w:sz w:val="28"/>
          <w:szCs w:val="28"/>
        </w:rPr>
        <w:t>an important opportunity for the region to lead by example, elevate regional priorities in global climate discourse, and showcase shared commitments to sustainability, resilience, and ecological innovation.</w:t>
      </w:r>
      <w:r w:rsidR="00AF4037" w:rsidRPr="00BF5255">
        <w:rPr>
          <w:rFonts w:ascii="Arial" w:hAnsi="Arial" w:cs="Arial"/>
          <w:bCs/>
          <w:sz w:val="28"/>
          <w:szCs w:val="28"/>
        </w:rPr>
        <w:t xml:space="preserve"> </w:t>
      </w:r>
    </w:p>
    <w:p w14:paraId="0E11A162" w14:textId="46447246" w:rsidR="007754B3" w:rsidRPr="00BF5255" w:rsidRDefault="00B51244" w:rsidP="00802C0D">
      <w:pPr>
        <w:ind w:right="-279"/>
        <w:jc w:val="both"/>
        <w:rPr>
          <w:rFonts w:ascii="Arial" w:hAnsi="Arial" w:cs="Arial"/>
          <w:bCs/>
          <w:sz w:val="28"/>
          <w:szCs w:val="28"/>
        </w:rPr>
      </w:pPr>
      <w:r w:rsidRPr="00BF5255">
        <w:rPr>
          <w:rFonts w:ascii="Arial" w:hAnsi="Arial" w:cs="Arial"/>
          <w:bCs/>
          <w:sz w:val="28"/>
          <w:szCs w:val="28"/>
        </w:rPr>
        <w:t>The events of recent years demonstrate that the Turkic states are increasingly uniting around a shared vision for environmental sustainability tackling environmental pollution, enhancing climate resilience, and fostering sustainable development. They also reflect the continuation of a long</w:t>
      </w:r>
      <w:r w:rsidRPr="00BF5255">
        <w:rPr>
          <w:rFonts w:ascii="Cambria Math" w:hAnsi="Cambria Math" w:cs="Cambria Math"/>
          <w:bCs/>
          <w:sz w:val="28"/>
          <w:szCs w:val="28"/>
        </w:rPr>
        <w:t>‑</w:t>
      </w:r>
      <w:r w:rsidRPr="00BF5255">
        <w:rPr>
          <w:rFonts w:ascii="Arial" w:hAnsi="Arial" w:cs="Arial"/>
          <w:bCs/>
          <w:sz w:val="28"/>
          <w:szCs w:val="28"/>
        </w:rPr>
        <w:t>standing tradition of cooperation rooted in cultural, economic, and political ties, affirming that environmental protection remains not only a national priority but a cornerstone for collective prosperity, resilience, and future</w:t>
      </w:r>
      <w:r w:rsidRPr="00BF5255">
        <w:rPr>
          <w:rFonts w:ascii="Cambria Math" w:hAnsi="Cambria Math" w:cs="Cambria Math"/>
          <w:bCs/>
          <w:sz w:val="28"/>
          <w:szCs w:val="28"/>
        </w:rPr>
        <w:t>‑</w:t>
      </w:r>
      <w:r w:rsidRPr="00BF5255">
        <w:rPr>
          <w:rFonts w:ascii="Arial" w:hAnsi="Arial" w:cs="Arial"/>
          <w:bCs/>
          <w:sz w:val="28"/>
          <w:szCs w:val="28"/>
        </w:rPr>
        <w:t>oriented partnership within the Turkic world.</w:t>
      </w:r>
    </w:p>
    <w:p w14:paraId="34413DA7" w14:textId="45E6F247" w:rsidR="007754B3" w:rsidRPr="00BF5255" w:rsidRDefault="007754B3" w:rsidP="00802C0D">
      <w:pPr>
        <w:ind w:right="-279"/>
        <w:rPr>
          <w:rFonts w:ascii="Arial" w:hAnsi="Arial" w:cs="Arial"/>
          <w:b/>
          <w:bCs/>
          <w:sz w:val="28"/>
          <w:szCs w:val="28"/>
        </w:rPr>
      </w:pPr>
    </w:p>
    <w:p w14:paraId="4D67404D" w14:textId="66DD086E" w:rsidR="00324C43" w:rsidRPr="00BF5255" w:rsidRDefault="00AB64F0" w:rsidP="00802C0D">
      <w:pPr>
        <w:ind w:right="-279"/>
        <w:rPr>
          <w:rFonts w:ascii="Arial" w:hAnsi="Arial" w:cs="Arial"/>
          <w:b/>
          <w:bCs/>
          <w:sz w:val="28"/>
          <w:szCs w:val="28"/>
        </w:rPr>
      </w:pPr>
      <w:r w:rsidRPr="00BF5255">
        <w:rPr>
          <w:rFonts w:ascii="Arial" w:hAnsi="Arial" w:cs="Arial"/>
          <w:b/>
          <w:bCs/>
          <w:sz w:val="28"/>
          <w:szCs w:val="28"/>
          <w:lang w:val="az-Latn-AZ"/>
        </w:rPr>
        <w:t>AZERBA</w:t>
      </w:r>
      <w:r w:rsidRPr="00BF5255">
        <w:rPr>
          <w:rFonts w:ascii="Arial" w:hAnsi="Arial" w:cs="Arial"/>
          <w:b/>
          <w:bCs/>
          <w:sz w:val="28"/>
          <w:szCs w:val="28"/>
        </w:rPr>
        <w:t>IJAN</w:t>
      </w:r>
    </w:p>
    <w:p w14:paraId="43481882" w14:textId="4EA8A8F9" w:rsidR="00F5011F" w:rsidRPr="00BF5255" w:rsidRDefault="00F5011F" w:rsidP="00802C0D">
      <w:pPr>
        <w:ind w:right="-279"/>
        <w:jc w:val="both"/>
        <w:rPr>
          <w:rFonts w:ascii="Arial" w:hAnsi="Arial" w:cs="Arial"/>
          <w:sz w:val="28"/>
          <w:szCs w:val="28"/>
          <w:lang w:val="az-Latn-AZ"/>
        </w:rPr>
      </w:pPr>
      <w:r w:rsidRPr="00BF5255">
        <w:rPr>
          <w:rFonts w:ascii="Arial" w:hAnsi="Arial" w:cs="Arial"/>
          <w:sz w:val="28"/>
          <w:szCs w:val="28"/>
          <w:lang w:val="az-Latn-AZ"/>
        </w:rPr>
        <w:t>Taking appropriate measures to solve environmental problems in Azerbaijan and improving the ecological situation are important components of the country's sustainable development strategy.</w:t>
      </w:r>
    </w:p>
    <w:p w14:paraId="3A31BAA8" w14:textId="6949FCAB" w:rsidR="00F5011F" w:rsidRPr="00BF5255" w:rsidRDefault="00F5011F" w:rsidP="00802C0D">
      <w:pPr>
        <w:ind w:right="-279"/>
        <w:jc w:val="both"/>
        <w:rPr>
          <w:rFonts w:ascii="Arial" w:hAnsi="Arial" w:cs="Arial"/>
          <w:sz w:val="28"/>
          <w:szCs w:val="28"/>
          <w:lang w:val="az-Latn-AZ"/>
        </w:rPr>
      </w:pPr>
      <w:r w:rsidRPr="00BF5255">
        <w:rPr>
          <w:rFonts w:ascii="Arial" w:hAnsi="Arial" w:cs="Arial"/>
          <w:sz w:val="28"/>
          <w:szCs w:val="28"/>
          <w:lang w:val="az-Latn-AZ"/>
        </w:rPr>
        <w:t>Minimizing environmental pollution and improving its protection to ensure ecological safety, rational use of natural resources to meet the needs of present and future generations, taking advantage of alternative energy sources and achieving energy efficiency, assessing needs at the national level for global environmental problems, identifying solutions, and expanding relations with international organizations are the main directions of the country's environmental policy.</w:t>
      </w:r>
    </w:p>
    <w:p w14:paraId="186BCCD5" w14:textId="54B80342" w:rsidR="00B372B8" w:rsidRPr="00BF5255" w:rsidRDefault="00F5011F"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The environmental strategy </w:t>
      </w:r>
      <w:r w:rsidR="00417AB9" w:rsidRPr="00BF5255">
        <w:rPr>
          <w:rFonts w:ascii="Arial" w:hAnsi="Arial" w:cs="Arial"/>
          <w:sz w:val="28"/>
          <w:szCs w:val="28"/>
          <w:lang w:val="az-Latn-AZ"/>
        </w:rPr>
        <w:t xml:space="preserve">of Azerbaijan </w:t>
      </w:r>
      <w:r w:rsidRPr="00BF5255">
        <w:rPr>
          <w:rFonts w:ascii="Arial" w:hAnsi="Arial" w:cs="Arial"/>
          <w:sz w:val="28"/>
          <w:szCs w:val="28"/>
          <w:lang w:val="az-Latn-AZ"/>
        </w:rPr>
        <w:t>is aimed at protecting natural resources at the national, international and regional levels, applying science-based development principles, and ensuring sustainability in the use of the country's economic and human resources by strengthening the coordination of activities in the field of environmental protection.</w:t>
      </w:r>
    </w:p>
    <w:p w14:paraId="400DAA5A" w14:textId="7E8A2964"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 xml:space="preserve">Cooperation </w:t>
      </w:r>
      <w:r w:rsidR="00F5011F" w:rsidRPr="00BF5255">
        <w:rPr>
          <w:rFonts w:ascii="Arial" w:hAnsi="Arial" w:cs="Arial"/>
          <w:sz w:val="28"/>
          <w:szCs w:val="28"/>
        </w:rPr>
        <w:t xml:space="preserve">in the field of forestry </w:t>
      </w:r>
      <w:r w:rsidRPr="00BF5255">
        <w:rPr>
          <w:rFonts w:ascii="Arial" w:hAnsi="Arial" w:cs="Arial"/>
          <w:sz w:val="28"/>
          <w:szCs w:val="28"/>
        </w:rPr>
        <w:t xml:space="preserve">is being carried out in the direction of applying the Turkish model in the digitalization of forestry activities and the creation of a Forest Information System. Trainings have been conducted for local specialists on carrying out Ecosystem-Based Functional Forest Management works using remote sensing methods in forest fund areas not cleared of </w:t>
      </w:r>
      <w:r w:rsidR="006E6AEB" w:rsidRPr="00BF5255">
        <w:rPr>
          <w:rFonts w:ascii="Arial" w:hAnsi="Arial" w:cs="Arial"/>
          <w:sz w:val="28"/>
          <w:szCs w:val="28"/>
        </w:rPr>
        <w:t>mines</w:t>
      </w:r>
      <w:r w:rsidRPr="00BF5255">
        <w:rPr>
          <w:rFonts w:ascii="Arial" w:hAnsi="Arial" w:cs="Arial"/>
          <w:sz w:val="28"/>
          <w:szCs w:val="28"/>
        </w:rPr>
        <w:t>, and inventory work has been carried out using remote sensing methods in the forest fund located in the Zangilan district, selected as a pilot area. In accordance with the “Great Return I State Program,” relevant measures are being continued in other territories liberated from occupation.</w:t>
      </w:r>
    </w:p>
    <w:p w14:paraId="11DC5294" w14:textId="642B1C6F"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It should be noted that relevant work is being carried out jointly by the Ministry of Agriculture and Forestry of the Republic of Türkiye and the Ministry of Ecology and Natural Resources of the Republic of Azerbaijan on the project to establish a “Smart Nursery Area” and an “International Forestry Training Center” in the territory of the Jabrayil district</w:t>
      </w:r>
      <w:r w:rsidR="00AB64F0" w:rsidRPr="00BF5255">
        <w:rPr>
          <w:rFonts w:ascii="Arial" w:hAnsi="Arial" w:cs="Arial"/>
          <w:sz w:val="28"/>
          <w:szCs w:val="28"/>
        </w:rPr>
        <w:t>.</w:t>
      </w:r>
    </w:p>
    <w:p w14:paraId="1FE57149" w14:textId="3EB70553" w:rsidR="00324C43" w:rsidRPr="00BF5255" w:rsidRDefault="00324C43" w:rsidP="00802C0D">
      <w:pPr>
        <w:ind w:right="-279"/>
        <w:jc w:val="both"/>
        <w:rPr>
          <w:rFonts w:ascii="Arial" w:hAnsi="Arial" w:cs="Arial"/>
          <w:i/>
          <w:sz w:val="28"/>
          <w:szCs w:val="28"/>
        </w:rPr>
      </w:pPr>
      <w:r w:rsidRPr="00BF5255">
        <w:rPr>
          <w:rFonts w:ascii="Arial" w:hAnsi="Arial" w:cs="Arial"/>
          <w:sz w:val="28"/>
          <w:szCs w:val="28"/>
        </w:rPr>
        <w:t>In July of the current year, an online meeting was held with the participation of representatives from Azerbaijan, including the Agency for the Use of State Mineral Resources, the State Geological Exploration Agency, the Ministry of Energy, and AzerGold CJSC, as well as representatives from Türkiye, including the General Directorate of Mineral Research and Exploration (MTA), the General Directorate of Mining and Petroleum Affairs (MAPEG), MTA International Company, and Eti Maden Company. During the meeting, discussions were held on the work carried out in previous years and the activities planned for 2025 within the framework of joint cooperation.</w:t>
      </w:r>
      <w:r w:rsidR="006764F5" w:rsidRPr="00BF5255">
        <w:rPr>
          <w:rFonts w:ascii="Arial" w:hAnsi="Arial" w:cs="Arial"/>
          <w:sz w:val="28"/>
          <w:szCs w:val="28"/>
        </w:rPr>
        <w:t xml:space="preserve"> </w:t>
      </w:r>
      <w:r w:rsidR="003C7A64" w:rsidRPr="00BF5255">
        <w:rPr>
          <w:rFonts w:ascii="Arial" w:hAnsi="Arial" w:cs="Arial"/>
          <w:sz w:val="28"/>
          <w:szCs w:val="28"/>
        </w:rPr>
        <w:t xml:space="preserve">At the same time, Ministry of Ecology and Natural Resources of Azerbaijan is implementing a range of measures in the field of applying circular economy and green mining principles. The Ministry has strengthened control mechanisms regarding the management of waste generated from mining activities, as well as their recycling and recovery, and has expanded environmental monitoring activities. In order to promote the green mining approach, the application of modern and environmentally safe technologies and reducing carbon emissions measures remain in focus. The implemented measures serve to ensure the principles of sustainable development in the country and to strengthen environmental protection. </w:t>
      </w:r>
    </w:p>
    <w:p w14:paraId="35B6DC08" w14:textId="6BDFDCB8" w:rsidR="00324C43" w:rsidRPr="00BF5255" w:rsidRDefault="000B3798" w:rsidP="00802C0D">
      <w:pPr>
        <w:ind w:right="-279"/>
        <w:jc w:val="both"/>
        <w:rPr>
          <w:rFonts w:ascii="Arial" w:hAnsi="Arial" w:cs="Arial"/>
          <w:sz w:val="28"/>
          <w:szCs w:val="28"/>
        </w:rPr>
      </w:pPr>
      <w:r w:rsidRPr="00BF5255">
        <w:rPr>
          <w:rFonts w:ascii="Arial" w:hAnsi="Arial" w:cs="Arial"/>
          <w:sz w:val="28"/>
          <w:szCs w:val="28"/>
        </w:rPr>
        <w:t>Joint</w:t>
      </w:r>
      <w:r w:rsidR="00324C43" w:rsidRPr="00BF5255">
        <w:rPr>
          <w:rFonts w:ascii="Arial" w:hAnsi="Arial" w:cs="Arial"/>
          <w:sz w:val="28"/>
          <w:szCs w:val="28"/>
        </w:rPr>
        <w:t xml:space="preserve"> research is planned for the preparation of specific projects for cooperation in the mining sector, as well as the exchange of information and experience in this field.</w:t>
      </w:r>
      <w:r w:rsidRPr="00BF5255">
        <w:rPr>
          <w:rFonts w:ascii="Arial" w:hAnsi="Arial" w:cs="Arial"/>
          <w:sz w:val="28"/>
          <w:szCs w:val="28"/>
        </w:rPr>
        <w:t xml:space="preserve"> </w:t>
      </w:r>
      <w:r w:rsidR="00324C43" w:rsidRPr="00BF5255">
        <w:rPr>
          <w:rFonts w:ascii="Arial" w:hAnsi="Arial" w:cs="Arial"/>
          <w:sz w:val="28"/>
          <w:szCs w:val="28"/>
        </w:rPr>
        <w:t xml:space="preserve">The country’s land registry, </w:t>
      </w:r>
      <w:r w:rsidR="004142EB" w:rsidRPr="00BF5255">
        <w:rPr>
          <w:rFonts w:ascii="Arial" w:hAnsi="Arial" w:cs="Arial"/>
          <w:sz w:val="28"/>
          <w:szCs w:val="28"/>
        </w:rPr>
        <w:t>cadaster</w:t>
      </w:r>
      <w:r w:rsidR="00324C43" w:rsidRPr="00BF5255">
        <w:rPr>
          <w:rFonts w:ascii="Arial" w:hAnsi="Arial" w:cs="Arial"/>
          <w:sz w:val="28"/>
          <w:szCs w:val="28"/>
        </w:rPr>
        <w:t>, and state-level geodesy and cartography systems will be studied, priority areas of cooperation will be identified, and it is planned to establish a Working Group in these areas, as well as to conduct relevant research. On December 2–3, 2025, the second meeting of the “Mapping Working Group” of the member states of the Organization of Turkic States (OTS) was held in Baku, Republic of Azerbaijan.</w:t>
      </w:r>
    </w:p>
    <w:p w14:paraId="529A2879" w14:textId="1D5E2139"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It should be noted that within the framework of the International Forum titled “Solidarity for a Green World: From Waste to Value for a Sustainable Future,” organized in Baku in 2024 by the Ministry of Ecology and Natural Resources and “Tamiz Shahar” OJSC, a Memorandum of Understanding was signed between the Zero Waste Foundation of the Republic of Türkiye and the Ministry of Ecology and Natural Resources.</w:t>
      </w:r>
    </w:p>
    <w:p w14:paraId="12AFEA3B" w14:textId="2B1E0B09"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In addition, in 2024, a Memorandum of Understanding (MoU) was signed between the “Azerbaijan Investment Company” OJSC and Türkiye’s “Dias Bilişim ve Teknoloji Hizmetleri A.Ş.” in order to attract investments for the implementation of the Deposit Refund System (DRS) in the country. Within the framework of this cooperation, it is envisaged that Dias will provide technology and design services for the DRS system in Azerbaijan, a new joint venture (NewCo) will be established, and the company’s experience with a similar system in Türkiye will be applied.</w:t>
      </w:r>
    </w:p>
    <w:p w14:paraId="47C40848" w14:textId="1199F72B"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On October 17–19, 2025, the “Zero Waste” Forum was held in Istanbul, Republic of Türkiye, aimed at bringing together stakeholders to discuss effective waste management. The forum brought together actors/stakeholders from around the world—from city leaders and community organizations</w:t>
      </w:r>
      <w:r w:rsidR="004142EB" w:rsidRPr="00BF5255">
        <w:rPr>
          <w:rFonts w:ascii="Arial" w:hAnsi="Arial" w:cs="Arial"/>
          <w:sz w:val="28"/>
          <w:szCs w:val="28"/>
        </w:rPr>
        <w:t xml:space="preserve"> to innovators and policymakers </w:t>
      </w:r>
      <w:r w:rsidRPr="00BF5255">
        <w:rPr>
          <w:rFonts w:ascii="Arial" w:hAnsi="Arial" w:cs="Arial"/>
          <w:sz w:val="28"/>
          <w:szCs w:val="28"/>
        </w:rPr>
        <w:t>to take concrete steps toward a zero-waste world.</w:t>
      </w:r>
    </w:p>
    <w:p w14:paraId="7DE4F44B" w14:textId="5260385F"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In addition, in December of the current year, a visit was made to Ankara in order to study Türkiye’s experience in managing public-private partnership projects. Within the framework of the visit, representatives of relevant state institutions of the Republic of Azerbaijan held meetings with representatives of the Presidency of the Republic of Türkiye (Strategy and Budget Office), the Ministry of Treasury and Finance, the Ministry of Health, the Ministry of Transport and Infrastructure, and the General Directorate of State Airports Authority, and exchanged experience.</w:t>
      </w:r>
    </w:p>
    <w:p w14:paraId="537CE1F9" w14:textId="77777777"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Furthermore, on December 23, 2025, the “II Azerbaijan–Türkiye Investment Forum” is planned to be held in Baku with the support of the Ministry of Economy of the Republic of Azerbaijan and the Ministry of Trade of the Republic of Türkiye, jointly organized by AZPROMO and TÜİB (Turkish-Azerbaijani Businessmen and Industrialists Public Union). The purpose of the forum is to deepen economic integration between Azerbaijan and Türkiye, expand business cooperation, explore new investment opportunities, and promote joint projects.</w:t>
      </w:r>
    </w:p>
    <w:p w14:paraId="721CF237" w14:textId="7638BC5C"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In 2024, meetings were held with the Ministry of Environment, Urbanization and Climate Change of the Republic of Türkiye, which visited the country in preparation for COP29. During the meetings, presentations were delivered and discussions were held on effective ways of establishing the MRV system, as well as on the implementation of the provisions of Article 13 of the Paris Agreement (Enhanced Transparency Framework).</w:t>
      </w:r>
    </w:p>
    <w:p w14:paraId="5AFDE599" w14:textId="0683E21F"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It is planned to exchange information and experience on the implementation of new reporting formats in force in Türkiye, as well as on legislative and institutional reforms related to the IRD system.</w:t>
      </w:r>
    </w:p>
    <w:p w14:paraId="609906B9" w14:textId="4AAF9F3B"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On March 5–6, 2024, an online training was held jointly organized by the Ministry of Environment, Urbanization and Climate Change of the Republic of Türkiye and the Regional Organization for the Conservation of the Environment of the Red Sea and Gulf of Aden. The purpose of the training was to enhance capacities for adaptation to climate change. During the online training, experts from Türkiye presented information on climate change adaptation strategies and measures implemented in that country.</w:t>
      </w:r>
    </w:p>
    <w:p w14:paraId="5352E57E" w14:textId="69A3C7CA" w:rsidR="00324C43" w:rsidRPr="00BF5255" w:rsidRDefault="00324C43" w:rsidP="00802C0D">
      <w:pPr>
        <w:ind w:right="-279"/>
        <w:jc w:val="both"/>
        <w:rPr>
          <w:rFonts w:ascii="Arial" w:hAnsi="Arial" w:cs="Arial"/>
          <w:sz w:val="28"/>
          <w:szCs w:val="28"/>
        </w:rPr>
      </w:pPr>
      <w:r w:rsidRPr="00BF5255">
        <w:rPr>
          <w:rFonts w:ascii="Arial" w:hAnsi="Arial" w:cs="Arial"/>
          <w:sz w:val="28"/>
          <w:szCs w:val="28"/>
        </w:rPr>
        <w:t>In November 2024, within the framework of the 29th session of the Conference of the Parties to the United Nations Framework Convention on Climate Change (UNFCCC COP29), panel discussions were held in the Blue Zone by the Turkish State Meteorological Service on the topic “The Importance of Integrated Meteorological Early Warning Systems in the Member States of the Organization of Turkic States under Changing Climate Conditions.” The main purpose of the high-level event was to strengthen existing cooperation among Turkic countries in the field of meteorology, with a focus on the importance of Early Warning Systems within the Organization.</w:t>
      </w:r>
    </w:p>
    <w:p w14:paraId="1B409EE4" w14:textId="77777777" w:rsidR="000B3798" w:rsidRPr="00BF5255" w:rsidRDefault="000B3798" w:rsidP="00802C0D">
      <w:pPr>
        <w:spacing w:after="0"/>
        <w:ind w:right="-279"/>
        <w:jc w:val="both"/>
        <w:rPr>
          <w:rFonts w:ascii="Arial" w:hAnsi="Arial" w:cs="Arial"/>
          <w:b/>
          <w:bCs/>
          <w:sz w:val="28"/>
          <w:szCs w:val="28"/>
        </w:rPr>
      </w:pPr>
    </w:p>
    <w:p w14:paraId="42D38B4E" w14:textId="6A4DC829" w:rsidR="00873350" w:rsidRPr="00BF5255" w:rsidRDefault="00873350" w:rsidP="00802C0D">
      <w:pPr>
        <w:spacing w:after="0"/>
        <w:ind w:right="-279"/>
        <w:jc w:val="both"/>
        <w:rPr>
          <w:rFonts w:ascii="Arial" w:hAnsi="Arial" w:cs="Arial"/>
          <w:b/>
          <w:bCs/>
          <w:sz w:val="28"/>
          <w:szCs w:val="28"/>
        </w:rPr>
      </w:pPr>
      <w:r w:rsidRPr="00BF5255">
        <w:rPr>
          <w:rFonts w:ascii="Arial" w:hAnsi="Arial" w:cs="Arial"/>
          <w:b/>
          <w:bCs/>
          <w:sz w:val="28"/>
          <w:szCs w:val="28"/>
        </w:rPr>
        <w:t>KAZAKHSTAN</w:t>
      </w:r>
    </w:p>
    <w:p w14:paraId="4504CF0C" w14:textId="77777777" w:rsidR="00695969" w:rsidRPr="00BF5255" w:rsidRDefault="00695969" w:rsidP="00802C0D">
      <w:pPr>
        <w:spacing w:after="0"/>
        <w:ind w:right="-279"/>
        <w:jc w:val="both"/>
        <w:rPr>
          <w:rFonts w:ascii="Arial" w:hAnsi="Arial" w:cs="Arial"/>
          <w:b/>
          <w:bCs/>
          <w:sz w:val="28"/>
          <w:szCs w:val="28"/>
        </w:rPr>
      </w:pPr>
    </w:p>
    <w:p w14:paraId="19FDB15A" w14:textId="342F5144" w:rsidR="00695969" w:rsidRPr="00BF5255" w:rsidRDefault="00695969" w:rsidP="00802C0D">
      <w:pPr>
        <w:spacing w:after="0"/>
        <w:ind w:right="-279"/>
        <w:jc w:val="both"/>
        <w:rPr>
          <w:rFonts w:ascii="Arial" w:hAnsi="Arial" w:cs="Arial"/>
          <w:sz w:val="28"/>
          <w:szCs w:val="28"/>
        </w:rPr>
      </w:pPr>
      <w:r w:rsidRPr="00BF5255">
        <w:rPr>
          <w:rFonts w:ascii="Arial" w:hAnsi="Arial" w:cs="Arial"/>
          <w:sz w:val="28"/>
          <w:szCs w:val="28"/>
        </w:rPr>
        <w:t xml:space="preserve">Kazakhstan is one of the world’s largest producers of coal, oil, gas, and copper. In addition, the country hosts several heavy industry enterprises, including metallurgical and oil-refining plants. Due to its sharply continental climate, characterized by prolonged temperature inversions, Kazakhstan faces serious air pollution challenges and the need for comprehensive measures to reduce it. This issue not only affects </w:t>
      </w:r>
      <w:r w:rsidR="00C23485" w:rsidRPr="00BF5255">
        <w:rPr>
          <w:rFonts w:ascii="Arial" w:hAnsi="Arial" w:cs="Arial"/>
          <w:sz w:val="28"/>
          <w:szCs w:val="28"/>
        </w:rPr>
        <w:t xml:space="preserve">the </w:t>
      </w:r>
      <w:r w:rsidRPr="00BF5255">
        <w:rPr>
          <w:rFonts w:ascii="Arial" w:hAnsi="Arial" w:cs="Arial"/>
          <w:sz w:val="28"/>
          <w:szCs w:val="28"/>
        </w:rPr>
        <w:t>overall quality of life but also contributes to accelerating the pace of climate change.</w:t>
      </w:r>
    </w:p>
    <w:p w14:paraId="3B8A430B" w14:textId="4A0AC393" w:rsidR="00695969" w:rsidRPr="00BF5255" w:rsidRDefault="00695969" w:rsidP="00802C0D">
      <w:pPr>
        <w:spacing w:after="0"/>
        <w:ind w:right="-279"/>
        <w:jc w:val="both"/>
        <w:rPr>
          <w:rFonts w:ascii="Arial" w:hAnsi="Arial" w:cs="Arial"/>
          <w:sz w:val="28"/>
          <w:szCs w:val="28"/>
        </w:rPr>
      </w:pPr>
      <w:r w:rsidRPr="00BF5255">
        <w:rPr>
          <w:rFonts w:ascii="Arial" w:hAnsi="Arial" w:cs="Arial"/>
          <w:sz w:val="28"/>
          <w:szCs w:val="28"/>
        </w:rPr>
        <w:t>Maintaining good air quality is essential for protecting public health, ensuring societal prosperity, and preserving the integrity of natural ecosystems. Reducing emissions of pollutants and greenhouse gases is a key factor in mitigating rapid climate change. Kazakhstan, which ranked 21st in the world in greenhouse gas emissions in 2019, faces a complex interconnection between climate change and air pollution. Each year, air pollution leads to the premature death of more than 10,000 people, while the economic damage, according to the World Bank in 2023, amounts to approximately 10.5 billion dollars.</w:t>
      </w:r>
    </w:p>
    <w:p w14:paraId="423AC9DF" w14:textId="77777777" w:rsidR="00695969" w:rsidRPr="00BF5255" w:rsidRDefault="00695969" w:rsidP="00802C0D">
      <w:pPr>
        <w:spacing w:after="0"/>
        <w:ind w:right="-279"/>
        <w:jc w:val="both"/>
        <w:rPr>
          <w:rFonts w:ascii="Arial" w:hAnsi="Arial" w:cs="Arial"/>
          <w:sz w:val="28"/>
          <w:szCs w:val="28"/>
        </w:rPr>
      </w:pPr>
    </w:p>
    <w:p w14:paraId="645F57C9" w14:textId="77777777" w:rsidR="00695969" w:rsidRPr="00BF5255" w:rsidRDefault="00695969" w:rsidP="00802C0D">
      <w:pPr>
        <w:spacing w:after="0"/>
        <w:ind w:right="-279"/>
        <w:jc w:val="both"/>
        <w:rPr>
          <w:rFonts w:ascii="Arial" w:hAnsi="Arial" w:cs="Arial"/>
          <w:sz w:val="28"/>
          <w:szCs w:val="28"/>
        </w:rPr>
      </w:pPr>
      <w:r w:rsidRPr="00BF5255">
        <w:rPr>
          <w:rFonts w:ascii="Arial" w:hAnsi="Arial" w:cs="Arial"/>
          <w:sz w:val="28"/>
          <w:szCs w:val="28"/>
        </w:rPr>
        <w:t>Despite the fact that Kazakhstan has joined key climate agreements such as the Paris Agreement and has set a goal to achieve carbon neutrality by 2060, comprehensive strategies such as the National Adaptation Plan are still in the early stages of development. The updated Environmental Code of 2021 places special emphasis on both adaptation and the “polluter pays” principle, highlighting the importance of addressing climate change and air pollution simultaneously. Since these two issues are interconnected, monitoring air pollution becomes not only a matter of local public health but also a crucial aspect of the global fight against climate change.</w:t>
      </w:r>
    </w:p>
    <w:p w14:paraId="38B7A9D0" w14:textId="77777777" w:rsidR="00695969" w:rsidRPr="00BF5255" w:rsidRDefault="00695969" w:rsidP="00802C0D">
      <w:pPr>
        <w:spacing w:after="0"/>
        <w:ind w:right="-279"/>
        <w:jc w:val="both"/>
        <w:rPr>
          <w:rFonts w:ascii="Arial" w:hAnsi="Arial" w:cs="Arial"/>
          <w:sz w:val="28"/>
          <w:szCs w:val="28"/>
        </w:rPr>
      </w:pPr>
    </w:p>
    <w:p w14:paraId="1E9E0A17" w14:textId="77CB60F3" w:rsidR="00695969" w:rsidRPr="00BF5255" w:rsidRDefault="00695969" w:rsidP="00802C0D">
      <w:pPr>
        <w:spacing w:after="0"/>
        <w:ind w:right="-279"/>
        <w:jc w:val="both"/>
        <w:rPr>
          <w:rFonts w:ascii="Arial" w:hAnsi="Arial" w:cs="Arial"/>
          <w:sz w:val="28"/>
          <w:szCs w:val="28"/>
        </w:rPr>
      </w:pPr>
      <w:r w:rsidRPr="00BF5255">
        <w:rPr>
          <w:rFonts w:ascii="Arial" w:hAnsi="Arial" w:cs="Arial"/>
          <w:sz w:val="28"/>
          <w:szCs w:val="28"/>
        </w:rPr>
        <w:t>The legislation of Kazakhstan contains clear recommendations on monitoring</w:t>
      </w:r>
    </w:p>
    <w:p w14:paraId="39DC4293" w14:textId="1E9221E8" w:rsidR="00695969" w:rsidRPr="00BF5255" w:rsidRDefault="00695969" w:rsidP="00802C0D">
      <w:pPr>
        <w:spacing w:after="0"/>
        <w:ind w:right="-279"/>
        <w:jc w:val="both"/>
        <w:rPr>
          <w:rFonts w:ascii="Arial" w:hAnsi="Arial" w:cs="Arial"/>
          <w:sz w:val="28"/>
          <w:szCs w:val="28"/>
        </w:rPr>
      </w:pPr>
      <w:r w:rsidRPr="00BF5255">
        <w:rPr>
          <w:rFonts w:ascii="Arial" w:hAnsi="Arial" w:cs="Arial"/>
          <w:sz w:val="28"/>
          <w:szCs w:val="28"/>
        </w:rPr>
        <w:t xml:space="preserve">the quality of atmospheric air, as set out in the Environmental Code and the Rules of the unified State system for monitoring the environment and natural resources. </w:t>
      </w:r>
    </w:p>
    <w:p w14:paraId="2E4C4690" w14:textId="77777777" w:rsidR="00695969" w:rsidRPr="00BF5255" w:rsidRDefault="00695969" w:rsidP="00802C0D">
      <w:pPr>
        <w:spacing w:after="0"/>
        <w:ind w:right="-279"/>
        <w:jc w:val="both"/>
        <w:rPr>
          <w:rFonts w:ascii="Arial" w:hAnsi="Arial" w:cs="Arial"/>
          <w:sz w:val="28"/>
          <w:szCs w:val="28"/>
        </w:rPr>
      </w:pPr>
    </w:p>
    <w:p w14:paraId="1EE4D7A7" w14:textId="77777777" w:rsidR="00695969" w:rsidRPr="00BF5255" w:rsidRDefault="00695969" w:rsidP="00802C0D">
      <w:pPr>
        <w:spacing w:after="0"/>
        <w:ind w:right="-279"/>
        <w:jc w:val="both"/>
        <w:rPr>
          <w:rFonts w:ascii="Arial" w:hAnsi="Arial" w:cs="Arial"/>
          <w:sz w:val="28"/>
          <w:szCs w:val="28"/>
        </w:rPr>
      </w:pPr>
      <w:r w:rsidRPr="00BF5255">
        <w:rPr>
          <w:rFonts w:ascii="Arial" w:hAnsi="Arial" w:cs="Arial"/>
          <w:sz w:val="28"/>
          <w:szCs w:val="28"/>
        </w:rPr>
        <w:t>State control over the concentration levels of pollutants is carried out through stationary and mobile monitoring stations operated by the state institution “Kazhydromet.” By law, all collected data must be stored in the “National Data Bank on the State of the Environment and Natural Resources of the Republic of Kazakhstan,” ensuring public access to this information.</w:t>
      </w:r>
    </w:p>
    <w:p w14:paraId="4C31EB19" w14:textId="77777777" w:rsidR="00695969" w:rsidRPr="00BF5255" w:rsidRDefault="00695969" w:rsidP="00802C0D">
      <w:pPr>
        <w:spacing w:after="0"/>
        <w:ind w:right="-279"/>
        <w:jc w:val="both"/>
        <w:rPr>
          <w:rFonts w:ascii="Arial" w:hAnsi="Arial" w:cs="Arial"/>
          <w:sz w:val="28"/>
          <w:szCs w:val="28"/>
        </w:rPr>
      </w:pPr>
    </w:p>
    <w:p w14:paraId="3214F839" w14:textId="77777777" w:rsidR="00695969" w:rsidRPr="00BF5255" w:rsidRDefault="00695969" w:rsidP="00802C0D">
      <w:pPr>
        <w:spacing w:after="0"/>
        <w:ind w:right="-279"/>
        <w:jc w:val="both"/>
        <w:rPr>
          <w:rFonts w:ascii="Arial" w:hAnsi="Arial" w:cs="Arial"/>
          <w:sz w:val="28"/>
          <w:szCs w:val="28"/>
        </w:rPr>
      </w:pPr>
      <w:r w:rsidRPr="00BF5255">
        <w:rPr>
          <w:rFonts w:ascii="Arial" w:hAnsi="Arial" w:cs="Arial"/>
          <w:sz w:val="28"/>
          <w:szCs w:val="28"/>
        </w:rPr>
        <w:t>In addition to the state system of Kazhydromet, which operates under the Ministry of Ecology and Natural Resources, there are various independent monitoring systems. These have been established by regional authorities and public activists. Unfortunately, access to the data from these systems is only available online and individually for each monitoring point. The state still needs to integrate and utilize the data collected by these fragmented monitoring systems in a coordinated manner. In this regard, satellite data can be used to collect independent data and assess pollution levels.</w:t>
      </w:r>
    </w:p>
    <w:p w14:paraId="698369E3" w14:textId="77777777" w:rsidR="00695969" w:rsidRPr="00BF5255" w:rsidRDefault="00695969" w:rsidP="00802C0D">
      <w:pPr>
        <w:spacing w:after="0"/>
        <w:ind w:right="-279"/>
        <w:jc w:val="both"/>
        <w:rPr>
          <w:rFonts w:ascii="Arial" w:hAnsi="Arial" w:cs="Arial"/>
          <w:sz w:val="28"/>
          <w:szCs w:val="28"/>
        </w:rPr>
      </w:pPr>
    </w:p>
    <w:p w14:paraId="12D65CA3" w14:textId="58F8B1BA" w:rsidR="00695969" w:rsidRPr="00BF5255" w:rsidRDefault="00695969" w:rsidP="00802C0D">
      <w:pPr>
        <w:spacing w:after="0"/>
        <w:ind w:right="-279"/>
        <w:jc w:val="both"/>
        <w:rPr>
          <w:rFonts w:ascii="Arial" w:hAnsi="Arial" w:cs="Arial"/>
          <w:sz w:val="28"/>
          <w:szCs w:val="28"/>
        </w:rPr>
      </w:pPr>
      <w:r w:rsidRPr="00BF5255">
        <w:rPr>
          <w:rFonts w:ascii="Arial" w:hAnsi="Arial" w:cs="Arial"/>
          <w:sz w:val="28"/>
          <w:szCs w:val="28"/>
        </w:rPr>
        <w:t>As part of monitoring and improving air quality in Kazakhstan, environmental pollution limits have been established. The country has adopted a national standard for maximum permissible concentrations (MPC) of pollutants in ambient air. It sets allowable concentration limits for several pollutants, including sulfur dioxide (SO</w:t>
      </w:r>
      <w:r w:rsidRPr="00BF5255">
        <w:rPr>
          <w:rFonts w:ascii="Cambria Math" w:hAnsi="Cambria Math" w:cs="Cambria Math"/>
          <w:sz w:val="28"/>
          <w:szCs w:val="28"/>
        </w:rPr>
        <w:t>₂</w:t>
      </w:r>
      <w:r w:rsidRPr="00BF5255">
        <w:rPr>
          <w:rFonts w:ascii="Arial" w:hAnsi="Arial" w:cs="Arial"/>
          <w:sz w:val="28"/>
          <w:szCs w:val="28"/>
        </w:rPr>
        <w:t>), nitrogen dioxide (NO</w:t>
      </w:r>
      <w:r w:rsidRPr="00BF5255">
        <w:rPr>
          <w:rFonts w:ascii="Cambria Math" w:hAnsi="Cambria Math" w:cs="Cambria Math"/>
          <w:sz w:val="28"/>
          <w:szCs w:val="28"/>
        </w:rPr>
        <w:t>₂</w:t>
      </w:r>
      <w:r w:rsidRPr="00BF5255">
        <w:rPr>
          <w:rFonts w:ascii="Arial" w:hAnsi="Arial" w:cs="Arial"/>
          <w:sz w:val="28"/>
          <w:szCs w:val="28"/>
        </w:rPr>
        <w:t>), carbon monoxide (CO), and particulate matter (PM10 and PM2.5). Kazakhstan has also established a national air quality monitoring network (NAQMN), which measures the levels of various pollutants in the air across different regions of the country. The data from this network are used to assess compliance with MPC standards and to identify areas where air pollution may pose a significant problem.</w:t>
      </w:r>
    </w:p>
    <w:p w14:paraId="57C71F96" w14:textId="0D13905E" w:rsidR="0022537E" w:rsidRPr="00BF5255" w:rsidRDefault="0022537E" w:rsidP="00802C0D">
      <w:pPr>
        <w:spacing w:after="0"/>
        <w:ind w:right="-279"/>
        <w:jc w:val="both"/>
        <w:rPr>
          <w:rFonts w:ascii="Arial" w:hAnsi="Arial" w:cs="Arial"/>
          <w:sz w:val="28"/>
          <w:szCs w:val="28"/>
        </w:rPr>
      </w:pPr>
    </w:p>
    <w:p w14:paraId="0C99A493" w14:textId="77777777" w:rsidR="0022537E" w:rsidRPr="00BF5255" w:rsidRDefault="0022537E" w:rsidP="00802C0D">
      <w:pPr>
        <w:spacing w:after="0"/>
        <w:ind w:right="-279"/>
        <w:jc w:val="both"/>
        <w:rPr>
          <w:rFonts w:ascii="Arial" w:hAnsi="Arial" w:cs="Arial"/>
          <w:sz w:val="28"/>
          <w:szCs w:val="28"/>
        </w:rPr>
      </w:pPr>
      <w:r w:rsidRPr="00BF5255">
        <w:rPr>
          <w:rFonts w:ascii="Arial" w:hAnsi="Arial" w:cs="Arial"/>
          <w:sz w:val="28"/>
          <w:szCs w:val="28"/>
        </w:rPr>
        <w:t>Kazakhstan’s weather is influenced by its sharply continental climate, with large temperature variations throughout the year. There is a significant increase in solar radiation from north to south, with the highest amount of solar energy received between June and August. The terrain of Kazakhstan is diverse, with most of the territory consisting of flat plains and low hilly areas (FAO, 2021).</w:t>
      </w:r>
    </w:p>
    <w:p w14:paraId="7D4B5F0F" w14:textId="77777777" w:rsidR="0022537E" w:rsidRPr="00BF5255" w:rsidRDefault="0022537E" w:rsidP="00802C0D">
      <w:pPr>
        <w:spacing w:after="0"/>
        <w:ind w:right="-279"/>
        <w:jc w:val="both"/>
        <w:rPr>
          <w:rFonts w:ascii="Arial" w:hAnsi="Arial" w:cs="Arial"/>
          <w:sz w:val="28"/>
          <w:szCs w:val="28"/>
        </w:rPr>
      </w:pPr>
    </w:p>
    <w:p w14:paraId="42961594" w14:textId="1979F112" w:rsidR="0022537E" w:rsidRPr="00BF5255" w:rsidRDefault="0022537E" w:rsidP="00802C0D">
      <w:pPr>
        <w:spacing w:after="0"/>
        <w:ind w:right="-279"/>
        <w:jc w:val="both"/>
        <w:rPr>
          <w:rFonts w:ascii="Arial" w:hAnsi="Arial" w:cs="Arial"/>
          <w:sz w:val="28"/>
          <w:szCs w:val="28"/>
        </w:rPr>
      </w:pPr>
      <w:r w:rsidRPr="00BF5255">
        <w:rPr>
          <w:rFonts w:ascii="Arial" w:hAnsi="Arial" w:cs="Arial"/>
          <w:sz w:val="28"/>
          <w:szCs w:val="28"/>
        </w:rPr>
        <w:t>Wind patterns vary throughout the year: in winter, southwesterly winds prevail; in desert regions, northeasterly winds dominate; and in summer, northwesterly, northerly, and northeasterly winds are most common. In mountainous regions and coastal zones, local winds are observed (National Hydrometeorological Service, 2023). The structure of the mountains in the south and southeast influences air flows on a global scale, acting as a natural barrier that prevents cold air masses from moving southward.</w:t>
      </w:r>
    </w:p>
    <w:p w14:paraId="37A4CD71" w14:textId="16592872" w:rsidR="00695969" w:rsidRPr="00BF5255" w:rsidRDefault="00695969" w:rsidP="00802C0D">
      <w:pPr>
        <w:spacing w:after="0"/>
        <w:ind w:right="-279"/>
        <w:jc w:val="both"/>
        <w:rPr>
          <w:rFonts w:ascii="Arial" w:hAnsi="Arial" w:cs="Arial"/>
          <w:sz w:val="28"/>
          <w:szCs w:val="28"/>
        </w:rPr>
      </w:pPr>
    </w:p>
    <w:p w14:paraId="44690CEB" w14:textId="2C619BDA" w:rsidR="00813C8A" w:rsidRPr="00BF5255" w:rsidRDefault="00F70CB3" w:rsidP="00802C0D">
      <w:pPr>
        <w:spacing w:after="0"/>
        <w:ind w:right="-279"/>
        <w:jc w:val="both"/>
        <w:rPr>
          <w:rFonts w:ascii="Arial" w:hAnsi="Arial" w:cs="Arial"/>
          <w:b/>
          <w:bCs/>
          <w:sz w:val="28"/>
          <w:szCs w:val="28"/>
        </w:rPr>
      </w:pPr>
      <w:r w:rsidRPr="00BF5255">
        <w:rPr>
          <w:rFonts w:ascii="Arial" w:hAnsi="Arial" w:cs="Arial"/>
          <w:b/>
          <w:bCs/>
          <w:sz w:val="28"/>
          <w:szCs w:val="28"/>
        </w:rPr>
        <w:t>KYRGYZ REPUBLIC</w:t>
      </w:r>
    </w:p>
    <w:p w14:paraId="567301C5" w14:textId="77777777" w:rsidR="00813C8A" w:rsidRPr="00BF5255" w:rsidRDefault="00813C8A" w:rsidP="00802C0D">
      <w:pPr>
        <w:spacing w:after="0"/>
        <w:ind w:right="-279"/>
        <w:jc w:val="both"/>
        <w:rPr>
          <w:rFonts w:ascii="Arial" w:hAnsi="Arial" w:cs="Arial"/>
          <w:sz w:val="28"/>
          <w:szCs w:val="28"/>
        </w:rPr>
      </w:pPr>
    </w:p>
    <w:p w14:paraId="330FC26C" w14:textId="4B2F18DC" w:rsidR="007C6703" w:rsidRPr="00BF5255" w:rsidRDefault="007C6703" w:rsidP="00802C0D">
      <w:pPr>
        <w:spacing w:after="0"/>
        <w:ind w:right="-279"/>
        <w:jc w:val="both"/>
        <w:rPr>
          <w:rFonts w:ascii="Arial" w:hAnsi="Arial" w:cs="Arial"/>
          <w:i/>
          <w:sz w:val="28"/>
          <w:szCs w:val="28"/>
        </w:rPr>
      </w:pPr>
      <w:r w:rsidRPr="00BF5255">
        <w:rPr>
          <w:rFonts w:ascii="Arial" w:hAnsi="Arial" w:cs="Arial"/>
          <w:sz w:val="28"/>
          <w:szCs w:val="28"/>
        </w:rPr>
        <w:t>The Kyrgyz Republic demonstrates an increasingly structured and policy-driven approach to addressing environmental pollution, combining domestic regulatory reforms with active regional and international cooperation.</w:t>
      </w:r>
      <w:r w:rsidR="00EA4A78" w:rsidRPr="00BF5255">
        <w:rPr>
          <w:rFonts w:ascii="Arial" w:hAnsi="Arial" w:cs="Arial"/>
          <w:sz w:val="28"/>
          <w:szCs w:val="28"/>
        </w:rPr>
        <w:t xml:space="preserve"> </w:t>
      </w:r>
      <w:r w:rsidRPr="00BF5255">
        <w:rPr>
          <w:rFonts w:ascii="Arial" w:hAnsi="Arial" w:cs="Arial"/>
          <w:sz w:val="28"/>
          <w:szCs w:val="28"/>
        </w:rPr>
        <w:t xml:space="preserve">Kyrgyzstan places strong emphasis on bilateral and multilateral cooperation as a tool for addressing </w:t>
      </w:r>
      <w:r w:rsidR="00226E8C" w:rsidRPr="00BF5255">
        <w:rPr>
          <w:rFonts w:ascii="Arial" w:hAnsi="Arial" w:cs="Arial"/>
          <w:sz w:val="28"/>
          <w:szCs w:val="28"/>
        </w:rPr>
        <w:t xml:space="preserve">common </w:t>
      </w:r>
      <w:r w:rsidRPr="00BF5255">
        <w:rPr>
          <w:rFonts w:ascii="Arial" w:hAnsi="Arial" w:cs="Arial"/>
          <w:sz w:val="28"/>
          <w:szCs w:val="28"/>
        </w:rPr>
        <w:t>environmental challenges and pollution.</w:t>
      </w:r>
      <w:r w:rsidR="00226E8C" w:rsidRPr="00BF5255">
        <w:rPr>
          <w:rFonts w:ascii="Arial" w:hAnsi="Arial" w:cs="Arial"/>
          <w:sz w:val="28"/>
          <w:szCs w:val="28"/>
        </w:rPr>
        <w:t xml:space="preserve"> </w:t>
      </w:r>
    </w:p>
    <w:p w14:paraId="45044AB7" w14:textId="77777777" w:rsidR="00226E8C" w:rsidRPr="00BF5255" w:rsidRDefault="00226E8C" w:rsidP="00802C0D">
      <w:pPr>
        <w:spacing w:after="0"/>
        <w:ind w:right="-279"/>
        <w:jc w:val="both"/>
        <w:rPr>
          <w:rFonts w:ascii="Arial" w:hAnsi="Arial" w:cs="Arial"/>
          <w:sz w:val="28"/>
          <w:szCs w:val="28"/>
        </w:rPr>
      </w:pPr>
    </w:p>
    <w:p w14:paraId="00047E62"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The Ministry of Natural Resources, Ecology, and Technical Control of the Kyrgyz Republic carries out its activities in the field of environmental protection and sustainable natural resource use in accordance with the Water, Land, and Forest Codes, as well as the "Law on Environmental Protection", "Law on Environmental Expertise", "Law on Subsoil", "General Technical Regulation on Ensuring Environmental Safety" and other normative legal acts.</w:t>
      </w:r>
    </w:p>
    <w:p w14:paraId="47711A2B"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The Ministry is intensifying efforts to enhance the environmental and climate-related legal framework. New Water and Land Codes have been adopted, and drafts of the Environmental Code and the “Law on Climate Activities” are being prepared. By Decree No. 105 of the President of the Kyrgyz Republic dated March 27, 2025, the Concept of Environmental Security of the Kyrgyz Republic and by Resolution No. 397 of the Cabinet of Ministers of the Kyrgyz Republic dated July 3, 2025, the Concept for Achieving Carbon Neutrality was approved. The National Climate Adaptation Plan, the Action Plan for the Management of Hazardous Waste from Expired Pesticides for 2025–2035, and the National Action Plan for Chemical, Biological, Radiological, and Nuclear Safety for 2025–2028 have been developed. The process of reviewing the National Strategy and Action Plan for Biodiversity Conservation has begun. The network of specially protected natural areas is expanding, the area of forests is increasing, and requirements aimed at protecting wildlife and plants are being strengthened.</w:t>
      </w:r>
    </w:p>
    <w:p w14:paraId="5905AFAC"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The Ministry places special emphasis on implementing multilateral and bilateral agreements, the rational use of natural resources, and international cooperation in the field of environmental protection. Kyrgyzstan continues its efforts to fulfill commitments under international environmental conventions it is a participant in and to attract investment for addressing ecological issues.</w:t>
      </w:r>
    </w:p>
    <w:p w14:paraId="4A314F32"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Key strategic documents for the implementation of the climate policy for 2025 - The Concept of Environmental Security for 2040 and the Concept of Achieving Carbon Neutrality by 2050 have been approved. The National Climate Adaptation Plan has been finalized, and the draft of the Climate Education Program for 2025–2030 has been developed. Work is underway on the first biennial report on UNDC-3 and transparent reporting. The implementation of UNDC-2 is being analyzed, and obstacles are being identified. Kyrgyzstan actively participates in activities under the United Nations Framework Convention on Climate Change and promotes mountain issues. A negotiation group for mountain countries has been established, consisting of 11 countries.</w:t>
      </w:r>
    </w:p>
    <w:p w14:paraId="60B818B7"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The National Program for Cooperation with the Green Climate Fund has been approved, and within its framework, the implementation of climate projects is being coordinated. The Ministry is carrying out legal and institutional work with international partners to ensure access to climate financing. A draft law "On climate activities" is being developed.</w:t>
      </w:r>
    </w:p>
    <w:p w14:paraId="1198FF5F"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 xml:space="preserve">The Kyrgyz Republic is a participant to 13 international environmental conventions and 3 protocols. On one hand, this allows for integration into global environmental activities, and on the other hand, it provides Kyrgyzstan with the opportunity to receive technical and financial assistance from developed countries, introduce modern technologies, and develop alternative energy. </w:t>
      </w:r>
    </w:p>
    <w:p w14:paraId="35899FA7"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 xml:space="preserve">The Ministry places special emphasis on the conservation of biodiversity and ecosystems. A number of initiatives are being implemented at the national, regional, and international levels. Kyrgyzstan is considered a global leader in protecting the rights of mountain populations and ecosystems. Kyrgyzstan's initiative, the 5 year plan for Sustainable Development of Mountain Areas (2023–2027), has gained support from the UN General Assembly. </w:t>
      </w:r>
    </w:p>
    <w:p w14:paraId="7BBE8FB9"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Within the framework of the "Jashyl muras" initiative, more than 6 million trees and shrubs are planted annually. This is a long-term effort aimed at restoring ecosystems and ensuring the right to clean air. The State Program for Snow Leopard Conservation is being implemented. By Decree No. 369 of the President of the Kyrgyz Republic dated December 29, 2023, it was recognized as a national symbol, and in 2024, under Kyrgyzstan's initiative, the UN declared an International Snow Leopard Day.</w:t>
      </w:r>
    </w:p>
    <w:p w14:paraId="589CA60A"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Increasing the share of specially protected natural areas to 10% of the country's territory is one of the national priorities. National programs for forest restoration are being implemented, and the forest cover will increase from 6.3% to 7%. Efforts are underway to restore degraded lands and promote the sustainable use of pastures in the context of climate change. Two ecological corridors have been established to ensure the natural migration of animals and the spread of plants.</w:t>
      </w:r>
    </w:p>
    <w:p w14:paraId="0C9AB4F6"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The Ministry has strengthened measures of accountability for damage to nature. The fine for illegal hunting of snow leopards has been increased from 1.5 million soms to 2 million soms, and for hunting of deer and bears, from 1 million soms to 1.5 million soms. A temporary ban (moratorium) has been imposed on the use of certain plant species.</w:t>
      </w:r>
    </w:p>
    <w:p w14:paraId="261D075A"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Air quality, especially in the city of Bishkek, remains a pressing issue. The main sources are transportation and coal heating. Measures are being taken to support electric vehicles, modernize transportation, transition to ecological heating sources, and strengthen the air quality monitoring system. The issue of banning the sale, import, and storage of coal with a fraction size of 0–13 mm is being considered. To improve gas supply, subsidized loans of up to 150,000 soms with a 3% interest rate are being provided. 54 settlements have been connected to gas, with 47,908 subscribers joining, of which 28,746 households have switched their boilers to gas. As a result, coal consumption has decreased by approximately 86,000 tons.</w:t>
      </w:r>
    </w:p>
    <w:p w14:paraId="42AFD432"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1,312 ecological buses have been delivered to Bishkek, 3,535 electric vehicles have been registered, and 44 charging power plants have been installed. 93 municipal boilers have been converted to gas and electricity.</w:t>
      </w:r>
    </w:p>
    <w:p w14:paraId="6E6C6D75"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Waste management is a priority area for the Ministry. Kyrgyzstan was the first in Central Asia to impose restrictions on single-use plastic containers and polyethylene bags. These restrictions will initially apply to specially protected natural areas, and from 2027, they will be enforced nationwide.</w:t>
      </w:r>
    </w:p>
    <w:p w14:paraId="50B025E7"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Extended producer responsibility and recycling fee mechanisms are being introduced. Sorting and recycling plants are being built across the country.</w:t>
      </w:r>
    </w:p>
    <w:p w14:paraId="10AAE743" w14:textId="77777777" w:rsidR="00813C8A" w:rsidRPr="00BF5255" w:rsidRDefault="00813C8A" w:rsidP="00802C0D">
      <w:pPr>
        <w:spacing w:after="0"/>
        <w:ind w:right="-279"/>
        <w:jc w:val="both"/>
        <w:rPr>
          <w:rFonts w:ascii="Arial" w:hAnsi="Arial" w:cs="Arial"/>
          <w:sz w:val="28"/>
          <w:szCs w:val="28"/>
        </w:rPr>
      </w:pPr>
      <w:r w:rsidRPr="00BF5255">
        <w:rPr>
          <w:rFonts w:ascii="Arial" w:hAnsi="Arial" w:cs="Arial"/>
          <w:sz w:val="28"/>
          <w:szCs w:val="28"/>
        </w:rPr>
        <w:t>The issue of disposing of expired pesticides remains a priority for the Ministry. Modern storage facilities are being built at the "Suzak B" site in the Suzak district of Jalal-Abad region and at the burial sites in Chuy region. Pesticides stored in the warehouse of a military unit in the Kara-Suu district of Osh region have been packed and loaded into 19 sea containers. In total, over 90 tons of pesticides were safely packed and prepared for transportation.</w:t>
      </w:r>
    </w:p>
    <w:p w14:paraId="7EA28492" w14:textId="77777777" w:rsidR="007C6703" w:rsidRPr="00BF5255" w:rsidRDefault="007C6703" w:rsidP="00802C0D">
      <w:pPr>
        <w:spacing w:after="0"/>
        <w:ind w:right="-279"/>
        <w:jc w:val="both"/>
        <w:rPr>
          <w:rFonts w:ascii="Arial" w:hAnsi="Arial" w:cs="Arial"/>
          <w:sz w:val="28"/>
          <w:szCs w:val="28"/>
        </w:rPr>
      </w:pPr>
    </w:p>
    <w:p w14:paraId="65C745B4" w14:textId="464784D0" w:rsidR="00CF4DCD" w:rsidRPr="00BF5255" w:rsidRDefault="003F77B2" w:rsidP="00802C0D">
      <w:pPr>
        <w:spacing w:after="0"/>
        <w:ind w:right="-279"/>
        <w:jc w:val="both"/>
        <w:rPr>
          <w:rFonts w:ascii="Arial" w:hAnsi="Arial" w:cs="Arial"/>
          <w:sz w:val="28"/>
          <w:szCs w:val="28"/>
        </w:rPr>
      </w:pPr>
      <w:r w:rsidRPr="00BF5255">
        <w:rPr>
          <w:rFonts w:ascii="Arial" w:hAnsi="Arial" w:cs="Arial"/>
          <w:sz w:val="28"/>
          <w:szCs w:val="28"/>
        </w:rPr>
        <w:t xml:space="preserve">The Kyrgyz Republic is actively and successfully developing its cooperation with the other member states of the Parliamentary Assembly of Turkic States (TURKPA) in this field. This cooperation is characterized by a high level of mutual trust, regular political dialogue, </w:t>
      </w:r>
      <w:r w:rsidR="00123B7B" w:rsidRPr="00BF5255">
        <w:rPr>
          <w:rFonts w:ascii="Arial" w:hAnsi="Arial" w:cs="Arial"/>
          <w:sz w:val="28"/>
          <w:szCs w:val="28"/>
        </w:rPr>
        <w:t xml:space="preserve">and </w:t>
      </w:r>
      <w:r w:rsidRPr="00BF5255">
        <w:rPr>
          <w:rFonts w:ascii="Arial" w:hAnsi="Arial" w:cs="Arial"/>
          <w:sz w:val="28"/>
          <w:szCs w:val="28"/>
        </w:rPr>
        <w:t>contributing to regional stability and deeper integration within the Turkic world.</w:t>
      </w:r>
      <w:r w:rsidR="00123B7B" w:rsidRPr="00BF5255">
        <w:rPr>
          <w:rFonts w:ascii="Arial" w:hAnsi="Arial" w:cs="Arial"/>
          <w:sz w:val="28"/>
          <w:szCs w:val="28"/>
        </w:rPr>
        <w:t xml:space="preserve"> </w:t>
      </w:r>
      <w:r w:rsidR="00E76C35" w:rsidRPr="00BF5255">
        <w:rPr>
          <w:rFonts w:ascii="Arial" w:hAnsi="Arial" w:cs="Arial"/>
          <w:sz w:val="28"/>
          <w:szCs w:val="28"/>
        </w:rPr>
        <w:t>On 11 October 2022, in Bishkek, a</w:t>
      </w:r>
      <w:r w:rsidR="00AF2614" w:rsidRPr="00BF5255">
        <w:rPr>
          <w:rFonts w:ascii="Arial" w:hAnsi="Arial" w:cs="Arial"/>
          <w:sz w:val="28"/>
          <w:szCs w:val="28"/>
        </w:rPr>
        <w:t xml:space="preserve"> Memorandum of Cooperation on Environmental Protection and Mutual Understanding </w:t>
      </w:r>
      <w:r w:rsidR="00E76C35" w:rsidRPr="00BF5255">
        <w:rPr>
          <w:rFonts w:ascii="Arial" w:hAnsi="Arial" w:cs="Arial"/>
          <w:sz w:val="28"/>
          <w:szCs w:val="28"/>
        </w:rPr>
        <w:t xml:space="preserve">was </w:t>
      </w:r>
      <w:r w:rsidR="00AF2614" w:rsidRPr="00BF5255">
        <w:rPr>
          <w:rFonts w:ascii="Arial" w:hAnsi="Arial" w:cs="Arial"/>
          <w:sz w:val="28"/>
          <w:szCs w:val="28"/>
        </w:rPr>
        <w:t xml:space="preserve">signed </w:t>
      </w:r>
      <w:r w:rsidR="00D6059A" w:rsidRPr="00BF5255">
        <w:rPr>
          <w:rFonts w:ascii="Arial" w:hAnsi="Arial" w:cs="Arial"/>
          <w:sz w:val="28"/>
          <w:szCs w:val="28"/>
          <w:lang w:val="tt-RU"/>
        </w:rPr>
        <w:t>between the Ministry of Natural Resources, Ecology and Technical Control of the Kyrgyz Republic and the Ministry of Ecology and Natural Resources of the Republic of Azerbaijan</w:t>
      </w:r>
      <w:r w:rsidR="00AF2614" w:rsidRPr="00BF5255">
        <w:rPr>
          <w:rFonts w:ascii="Arial" w:hAnsi="Arial" w:cs="Arial"/>
          <w:sz w:val="28"/>
          <w:szCs w:val="28"/>
        </w:rPr>
        <w:t>. Th</w:t>
      </w:r>
      <w:r w:rsidR="00E76C35" w:rsidRPr="00BF5255">
        <w:rPr>
          <w:rFonts w:ascii="Arial" w:hAnsi="Arial" w:cs="Arial"/>
          <w:sz w:val="28"/>
          <w:szCs w:val="28"/>
        </w:rPr>
        <w:t>is</w:t>
      </w:r>
      <w:r w:rsidR="00AF2614" w:rsidRPr="00BF5255">
        <w:rPr>
          <w:rFonts w:ascii="Arial" w:hAnsi="Arial" w:cs="Arial"/>
          <w:sz w:val="28"/>
          <w:szCs w:val="28"/>
        </w:rPr>
        <w:t xml:space="preserve"> agreement aims to strengthen long-term cooperation and</w:t>
      </w:r>
      <w:r w:rsidR="00433131" w:rsidRPr="00BF5255">
        <w:rPr>
          <w:rFonts w:ascii="Arial" w:hAnsi="Arial" w:cs="Arial"/>
          <w:sz w:val="28"/>
          <w:szCs w:val="28"/>
        </w:rPr>
        <w:t xml:space="preserve"> </w:t>
      </w:r>
      <w:r w:rsidR="00AF2614" w:rsidRPr="00BF5255">
        <w:rPr>
          <w:rFonts w:ascii="Arial" w:hAnsi="Arial" w:cs="Arial"/>
          <w:sz w:val="28"/>
          <w:szCs w:val="28"/>
        </w:rPr>
        <w:t xml:space="preserve">mutual understanding and covers key areas such as </w:t>
      </w:r>
      <w:r w:rsidR="00F44099" w:rsidRPr="00BF5255">
        <w:rPr>
          <w:rFonts w:ascii="Arial" w:hAnsi="Arial" w:cs="Arial"/>
          <w:sz w:val="28"/>
          <w:szCs w:val="28"/>
        </w:rPr>
        <w:t>state control to ensure environmental safety and the conservation of biological species, protection of the atmosphere from pollution, protection of the environment from pollution by pesticides and mineral fertilizers, including their use, storage, and transportation, collection, recycling, disposal, neutralization, storage, and burial of toxic and radioactive waste from particularly hazardous substances, and controlling their transboundary movement, protection of surface and groundwater, conservation of soil and restoration of their fertility, and the sustainable use of land, forest, and mineral resources; conservation work, protection of rare and endangered species of animals and plants, prevention of environmental accidents; environmental monitoring of the state of the natural environment and the management of inventories of natural resources</w:t>
      </w:r>
      <w:r w:rsidR="001D35FF" w:rsidRPr="00BF5255">
        <w:rPr>
          <w:rFonts w:ascii="Arial" w:hAnsi="Arial" w:cs="Arial"/>
          <w:sz w:val="28"/>
          <w:szCs w:val="28"/>
        </w:rPr>
        <w:t xml:space="preserve">, </w:t>
      </w:r>
      <w:r w:rsidR="00F44099" w:rsidRPr="00BF5255">
        <w:rPr>
          <w:rFonts w:ascii="Arial" w:hAnsi="Arial" w:cs="Arial"/>
          <w:sz w:val="28"/>
          <w:szCs w:val="28"/>
        </w:rPr>
        <w:t xml:space="preserve">waste management, </w:t>
      </w:r>
      <w:r w:rsidR="001D35FF" w:rsidRPr="00BF5255">
        <w:rPr>
          <w:rFonts w:ascii="Arial" w:hAnsi="Arial" w:cs="Arial"/>
          <w:sz w:val="28"/>
          <w:szCs w:val="28"/>
        </w:rPr>
        <w:t>etc</w:t>
      </w:r>
      <w:r w:rsidR="00F44099" w:rsidRPr="00BF5255">
        <w:rPr>
          <w:rFonts w:ascii="Arial" w:hAnsi="Arial" w:cs="Arial"/>
          <w:sz w:val="28"/>
          <w:szCs w:val="28"/>
        </w:rPr>
        <w:t>.</w:t>
      </w:r>
    </w:p>
    <w:p w14:paraId="3407D0E2" w14:textId="77777777" w:rsidR="003B06D0" w:rsidRPr="00BF5255" w:rsidRDefault="003B06D0" w:rsidP="00802C0D">
      <w:pPr>
        <w:spacing w:after="0"/>
        <w:ind w:right="-279"/>
        <w:jc w:val="both"/>
        <w:rPr>
          <w:rFonts w:ascii="Arial" w:hAnsi="Arial" w:cs="Arial"/>
          <w:b/>
          <w:bCs/>
          <w:sz w:val="28"/>
          <w:szCs w:val="28"/>
        </w:rPr>
      </w:pPr>
    </w:p>
    <w:p w14:paraId="6770E09A" w14:textId="2B4008F7" w:rsidR="005577AB" w:rsidRPr="00BF5255" w:rsidRDefault="007C6703" w:rsidP="00802C0D">
      <w:pPr>
        <w:spacing w:after="0"/>
        <w:ind w:right="-279"/>
        <w:jc w:val="both"/>
        <w:rPr>
          <w:rFonts w:ascii="Arial" w:hAnsi="Arial" w:cs="Arial"/>
          <w:sz w:val="28"/>
          <w:szCs w:val="28"/>
        </w:rPr>
      </w:pPr>
      <w:r w:rsidRPr="00BF5255">
        <w:rPr>
          <w:rFonts w:ascii="Arial" w:hAnsi="Arial" w:cs="Arial"/>
          <w:sz w:val="28"/>
          <w:szCs w:val="28"/>
        </w:rPr>
        <w:t xml:space="preserve">According to the information on cooperation with the Republic of Türkiye, a Memorandum of Understanding signed on 10 September 2021 </w:t>
      </w:r>
      <w:r w:rsidR="00A92F4D" w:rsidRPr="00BF5255">
        <w:rPr>
          <w:rFonts w:ascii="Arial" w:eastAsia="Times New Roman" w:hAnsi="Arial" w:cs="Arial"/>
          <w:sz w:val="28"/>
          <w:szCs w:val="28"/>
          <w:lang w:eastAsia="ru-RU"/>
        </w:rPr>
        <w:t>between the Cabinet of Ministers of the Kyrgyz Republic and the Government of the Republic of Türkiye</w:t>
      </w:r>
      <w:r w:rsidR="00A92F4D" w:rsidRPr="00BF5255">
        <w:rPr>
          <w:rFonts w:ascii="Arial" w:hAnsi="Arial" w:cs="Arial"/>
          <w:sz w:val="28"/>
          <w:szCs w:val="28"/>
        </w:rPr>
        <w:t xml:space="preserve"> </w:t>
      </w:r>
      <w:r w:rsidRPr="00BF5255">
        <w:rPr>
          <w:rFonts w:ascii="Arial" w:hAnsi="Arial" w:cs="Arial"/>
          <w:sz w:val="28"/>
          <w:szCs w:val="28"/>
        </w:rPr>
        <w:t xml:space="preserve">focuses on reducing pollution and ensuring environmental </w:t>
      </w:r>
      <w:r w:rsidR="009435B8" w:rsidRPr="00BF5255">
        <w:rPr>
          <w:rFonts w:ascii="Arial" w:hAnsi="Arial" w:cs="Arial"/>
          <w:sz w:val="28"/>
          <w:szCs w:val="28"/>
        </w:rPr>
        <w:t>sustainability</w:t>
      </w:r>
      <w:r w:rsidR="00325096" w:rsidRPr="00BF5255">
        <w:rPr>
          <w:rFonts w:ascii="Arial" w:hAnsi="Arial" w:cs="Arial"/>
          <w:sz w:val="28"/>
          <w:szCs w:val="28"/>
        </w:rPr>
        <w:t xml:space="preserve"> through a balanced approach to ecosystem protection and use</w:t>
      </w:r>
      <w:r w:rsidR="009435B8" w:rsidRPr="00BF5255">
        <w:rPr>
          <w:rFonts w:ascii="Arial" w:hAnsi="Arial" w:cs="Arial"/>
          <w:sz w:val="28"/>
          <w:szCs w:val="28"/>
        </w:rPr>
        <w:t>.</w:t>
      </w:r>
      <w:r w:rsidRPr="00BF5255">
        <w:rPr>
          <w:rFonts w:ascii="Arial" w:hAnsi="Arial" w:cs="Arial"/>
          <w:sz w:val="28"/>
          <w:szCs w:val="28"/>
        </w:rPr>
        <w:t xml:space="preserve"> The cooperation framework includes integrated waste management, wastewater management, air quality control, transboundary air pollution, regulation of environmental </w:t>
      </w:r>
      <w:r w:rsidR="003B23CD" w:rsidRPr="00BF5255">
        <w:rPr>
          <w:rFonts w:ascii="Arial" w:hAnsi="Arial" w:cs="Arial"/>
          <w:sz w:val="28"/>
          <w:szCs w:val="28"/>
        </w:rPr>
        <w:t>noise pollution</w:t>
      </w:r>
      <w:r w:rsidRPr="00BF5255">
        <w:rPr>
          <w:rFonts w:ascii="Arial" w:hAnsi="Arial" w:cs="Arial"/>
          <w:sz w:val="28"/>
          <w:szCs w:val="28"/>
        </w:rPr>
        <w:t>, climate change, management of chemical substances, wastewater treatment technologies, and biodiversity conservation in specially protected natural areas.</w:t>
      </w:r>
      <w:r w:rsidR="00A92F4D" w:rsidRPr="00BF5255">
        <w:rPr>
          <w:rFonts w:ascii="Arial" w:hAnsi="Arial" w:cs="Arial"/>
          <w:sz w:val="28"/>
          <w:szCs w:val="28"/>
        </w:rPr>
        <w:t xml:space="preserve"> </w:t>
      </w:r>
    </w:p>
    <w:p w14:paraId="70656C6D" w14:textId="77777777" w:rsidR="005577AB" w:rsidRPr="00BF5255" w:rsidRDefault="005577AB" w:rsidP="00802C0D">
      <w:pPr>
        <w:spacing w:after="0"/>
        <w:ind w:right="-279" w:firstLine="708"/>
        <w:jc w:val="both"/>
        <w:rPr>
          <w:rFonts w:ascii="Arial" w:hAnsi="Arial" w:cs="Arial"/>
          <w:sz w:val="28"/>
          <w:szCs w:val="28"/>
        </w:rPr>
      </w:pPr>
      <w:r w:rsidRPr="00BF5255">
        <w:rPr>
          <w:rFonts w:ascii="Arial" w:hAnsi="Arial" w:cs="Arial"/>
          <w:sz w:val="28"/>
          <w:szCs w:val="28"/>
        </w:rPr>
        <w:t>In the autumn of 2024  a bilateral memorandum was signed in the framework of the Global Program for the Conservation of Snow Leopards and their Ecosystems in Central Asia, under the initiative of the United Nations Development Programme (UNDP) of Kazakhstan, in the format of two specially protected natural areas (SPNA) of the Kyrgyz Republic and the Republic of Kazakhstan - The State Natural Park "Chon-Kemin" of the Ministry of Natural Resources, Ecology and Technical Supervision of the Kyrgyz Republic and the Committee on Forestry and Wildlife of the Ministry of Ecology and Natural Resources of the Republic of Kazakhstan, the State national natural parks "Ile-Alatau", "Kolsay-Kolder", and the Almaty State Nature Reserve have an agreement on the conservation of the leopard and its habitats in the mountainous regions of the Northern Tien-Shan as a species of global importance on cooperation on a number of issues. Cooperation with Kazakhstan is also carried out within the framework of the transnational serial nomination "Western Tien-Shan" (Kyrgyzstan, Kazakhstan, Uzbekistan), which was included in the UNESCO World Heritage List by the UNESCO World Heritage Committee on July 17, 2016 at the 40th session in Istanbul (Türkiye).</w:t>
      </w:r>
    </w:p>
    <w:p w14:paraId="7DFD94CB" w14:textId="77777777" w:rsidR="005577AB" w:rsidRPr="00BF5255" w:rsidRDefault="005577AB" w:rsidP="00802C0D">
      <w:pPr>
        <w:spacing w:after="0"/>
        <w:ind w:right="-279" w:firstLine="708"/>
        <w:jc w:val="both"/>
        <w:rPr>
          <w:rFonts w:ascii="Arial" w:hAnsi="Arial" w:cs="Arial"/>
          <w:sz w:val="28"/>
          <w:szCs w:val="28"/>
        </w:rPr>
      </w:pPr>
      <w:r w:rsidRPr="00BF5255">
        <w:rPr>
          <w:rFonts w:ascii="Arial" w:hAnsi="Arial" w:cs="Arial"/>
          <w:sz w:val="28"/>
          <w:szCs w:val="28"/>
        </w:rPr>
        <w:t>Memorandum on the management and protection of the UNESCO "Western Tien-Shan" serial transboundary World Natural Heritage Site, and an Action Plan for the implementation of the Memorandum for the years 2018-2022, have been signed between the parties for the purpose of managing and protecting the objects included in the above-mentioned nomination.</w:t>
      </w:r>
    </w:p>
    <w:p w14:paraId="0442320D" w14:textId="77777777" w:rsidR="005577AB" w:rsidRPr="00BF5255" w:rsidRDefault="005577AB" w:rsidP="00802C0D">
      <w:pPr>
        <w:spacing w:after="0"/>
        <w:ind w:right="-279" w:firstLine="708"/>
        <w:jc w:val="both"/>
        <w:rPr>
          <w:rFonts w:ascii="Arial" w:hAnsi="Arial" w:cs="Arial"/>
          <w:sz w:val="28"/>
          <w:szCs w:val="28"/>
        </w:rPr>
      </w:pPr>
      <w:r w:rsidRPr="00BF5255">
        <w:rPr>
          <w:rFonts w:ascii="Arial" w:hAnsi="Arial" w:cs="Arial"/>
          <w:sz w:val="28"/>
          <w:szCs w:val="28"/>
        </w:rPr>
        <w:t>In addition, joint activities with Kazakhstan are being carried out in the field of environmental protection within the framework of the SCO, CSTO, and CIS.</w:t>
      </w:r>
    </w:p>
    <w:p w14:paraId="7A86CB66" w14:textId="77777777" w:rsidR="005577AB" w:rsidRPr="00BF5255" w:rsidRDefault="005577AB" w:rsidP="00802C0D">
      <w:pPr>
        <w:spacing w:after="0"/>
        <w:ind w:right="-279" w:firstLine="708"/>
        <w:jc w:val="both"/>
        <w:rPr>
          <w:rFonts w:ascii="Arial" w:hAnsi="Arial" w:cs="Arial"/>
          <w:sz w:val="28"/>
          <w:szCs w:val="28"/>
        </w:rPr>
      </w:pPr>
      <w:r w:rsidRPr="00BF5255">
        <w:rPr>
          <w:rFonts w:ascii="Arial" w:hAnsi="Arial" w:cs="Arial"/>
          <w:sz w:val="28"/>
          <w:szCs w:val="28"/>
        </w:rPr>
        <w:t xml:space="preserve">On December 4, 2024, the Protocol of the 12th meeting of the Kyrgyz-Kazakh Intergovernmental Council was signed in Bishkek, within the framework of which cooperation in the following areas is envisioned. </w:t>
      </w:r>
    </w:p>
    <w:p w14:paraId="20360E7A" w14:textId="77777777" w:rsidR="005577AB" w:rsidRPr="00BF5255" w:rsidRDefault="005577AB" w:rsidP="00802C0D">
      <w:pPr>
        <w:spacing w:after="0"/>
        <w:ind w:right="-279" w:firstLine="708"/>
        <w:jc w:val="both"/>
        <w:rPr>
          <w:rFonts w:ascii="Arial" w:hAnsi="Arial" w:cs="Arial"/>
          <w:sz w:val="28"/>
          <w:szCs w:val="28"/>
        </w:rPr>
      </w:pPr>
      <w:r w:rsidRPr="00BF5255">
        <w:rPr>
          <w:rFonts w:ascii="Arial" w:hAnsi="Arial" w:cs="Arial"/>
          <w:sz w:val="28"/>
          <w:szCs w:val="28"/>
        </w:rPr>
        <w:t xml:space="preserve">Development of cooperation to strengthen cooperation in the fight against the smuggling of wildlife, as well as their parts (derivatives) as follows: </w:t>
      </w:r>
    </w:p>
    <w:p w14:paraId="54D63310" w14:textId="77777777" w:rsidR="005577AB" w:rsidRPr="00BF5255" w:rsidRDefault="005577AB" w:rsidP="00802C0D">
      <w:pPr>
        <w:spacing w:after="0"/>
        <w:ind w:right="-279"/>
        <w:jc w:val="both"/>
        <w:rPr>
          <w:rFonts w:ascii="Arial" w:hAnsi="Arial" w:cs="Arial"/>
          <w:sz w:val="28"/>
          <w:szCs w:val="28"/>
        </w:rPr>
      </w:pPr>
      <w:r w:rsidRPr="00BF5255">
        <w:rPr>
          <w:rFonts w:ascii="Arial" w:hAnsi="Arial" w:cs="Arial"/>
          <w:sz w:val="28"/>
          <w:szCs w:val="28"/>
        </w:rPr>
        <w:t>-</w:t>
      </w:r>
      <w:r w:rsidRPr="00BF5255">
        <w:rPr>
          <w:rFonts w:ascii="Arial" w:hAnsi="Arial" w:cs="Arial"/>
          <w:sz w:val="28"/>
          <w:szCs w:val="28"/>
        </w:rPr>
        <w:tab/>
        <w:t>Conducting training for Customs, Border, and Veterinary service employees on the regulations for transporting wildlife objects and the necessary permits required for such transportation;</w:t>
      </w:r>
    </w:p>
    <w:p w14:paraId="3871D75C" w14:textId="77777777" w:rsidR="005577AB" w:rsidRPr="00BF5255" w:rsidRDefault="005577AB" w:rsidP="00802C0D">
      <w:pPr>
        <w:spacing w:after="0"/>
        <w:ind w:right="-279"/>
        <w:jc w:val="both"/>
        <w:rPr>
          <w:rFonts w:ascii="Arial" w:hAnsi="Arial" w:cs="Arial"/>
          <w:sz w:val="28"/>
          <w:szCs w:val="28"/>
        </w:rPr>
      </w:pPr>
      <w:r w:rsidRPr="00BF5255">
        <w:rPr>
          <w:rFonts w:ascii="Arial" w:hAnsi="Arial" w:cs="Arial"/>
          <w:sz w:val="28"/>
          <w:szCs w:val="28"/>
        </w:rPr>
        <w:t>-</w:t>
      </w:r>
      <w:r w:rsidRPr="00BF5255">
        <w:rPr>
          <w:rFonts w:ascii="Arial" w:hAnsi="Arial" w:cs="Arial"/>
          <w:sz w:val="28"/>
          <w:szCs w:val="28"/>
        </w:rPr>
        <w:tab/>
        <w:t xml:space="preserve">Exchange of information on smuggling incidents by the authorized state bodies in the field of environmental protection, and taking prompt measures to prevent and detect such incidents; </w:t>
      </w:r>
    </w:p>
    <w:p w14:paraId="025FC981" w14:textId="77777777" w:rsidR="005577AB" w:rsidRPr="00BF5255" w:rsidRDefault="005577AB" w:rsidP="00802C0D">
      <w:pPr>
        <w:spacing w:after="0"/>
        <w:ind w:right="-279"/>
        <w:jc w:val="both"/>
        <w:rPr>
          <w:rFonts w:ascii="Arial" w:hAnsi="Arial" w:cs="Arial"/>
          <w:sz w:val="28"/>
          <w:szCs w:val="28"/>
        </w:rPr>
      </w:pPr>
      <w:r w:rsidRPr="00BF5255">
        <w:rPr>
          <w:rFonts w:ascii="Arial" w:hAnsi="Arial" w:cs="Arial"/>
          <w:sz w:val="28"/>
          <w:szCs w:val="28"/>
        </w:rPr>
        <w:t>-</w:t>
      </w:r>
      <w:r w:rsidRPr="00BF5255">
        <w:rPr>
          <w:rFonts w:ascii="Arial" w:hAnsi="Arial" w:cs="Arial"/>
          <w:sz w:val="28"/>
          <w:szCs w:val="28"/>
        </w:rPr>
        <w:tab/>
        <w:t xml:space="preserve">Developing a mechanism for the exchange of information on smuggling incidents and taking prompt measures by the authorized state bodies in the field of environmental protection. </w:t>
      </w:r>
    </w:p>
    <w:p w14:paraId="2FC20E9D" w14:textId="77777777" w:rsidR="005577AB" w:rsidRPr="00BF5255" w:rsidRDefault="005577AB" w:rsidP="00802C0D">
      <w:pPr>
        <w:spacing w:after="0"/>
        <w:ind w:right="-279" w:firstLine="708"/>
        <w:jc w:val="both"/>
        <w:rPr>
          <w:rFonts w:ascii="Arial" w:hAnsi="Arial" w:cs="Arial"/>
          <w:sz w:val="28"/>
          <w:szCs w:val="28"/>
        </w:rPr>
      </w:pPr>
      <w:r w:rsidRPr="00BF5255">
        <w:rPr>
          <w:rFonts w:ascii="Arial" w:hAnsi="Arial" w:cs="Arial"/>
          <w:sz w:val="28"/>
          <w:szCs w:val="28"/>
        </w:rPr>
        <w:t>For implementing the above-mentioned points, a letter was sent by the Ministry to the Kazakh side through the Ministry of Foreign Affairs of the Kyrgyz Republic (MFA KR) on January 27, 2025, with request to send the contact details of responsible officials (the cover letter to the MFA KR was sent on February 13, 2025, with reference No. 07-01-6/1230).</w:t>
      </w:r>
    </w:p>
    <w:p w14:paraId="2D9C420B" w14:textId="77777777" w:rsidR="005577AB" w:rsidRPr="00BF5255" w:rsidRDefault="005577AB" w:rsidP="00802C0D">
      <w:pPr>
        <w:spacing w:after="0" w:line="240" w:lineRule="auto"/>
        <w:ind w:right="-279"/>
        <w:rPr>
          <w:rFonts w:ascii="Arial" w:eastAsia="Times New Roman" w:hAnsi="Arial" w:cs="Arial"/>
          <w:sz w:val="28"/>
          <w:szCs w:val="28"/>
          <w:lang w:eastAsia="ru-RU"/>
        </w:rPr>
      </w:pPr>
    </w:p>
    <w:p w14:paraId="08722D99" w14:textId="4E54132F" w:rsidR="00492531" w:rsidRPr="00BF5255" w:rsidRDefault="00FA6BFD" w:rsidP="00802C0D">
      <w:pPr>
        <w:ind w:right="-279"/>
        <w:rPr>
          <w:rFonts w:ascii="Arial" w:hAnsi="Arial" w:cs="Arial"/>
          <w:b/>
          <w:bCs/>
          <w:sz w:val="28"/>
          <w:szCs w:val="28"/>
          <w:lang w:val="az-Latn-AZ"/>
        </w:rPr>
      </w:pPr>
      <w:r w:rsidRPr="00BF5255">
        <w:rPr>
          <w:rFonts w:ascii="Arial" w:hAnsi="Arial" w:cs="Arial"/>
          <w:b/>
          <w:bCs/>
          <w:sz w:val="28"/>
          <w:szCs w:val="28"/>
        </w:rPr>
        <w:t>T</w:t>
      </w:r>
      <w:r w:rsidRPr="00BF5255">
        <w:rPr>
          <w:rFonts w:ascii="Arial" w:hAnsi="Arial" w:cs="Arial"/>
          <w:b/>
          <w:bCs/>
          <w:sz w:val="28"/>
          <w:szCs w:val="28"/>
          <w:lang w:val="az-Latn-AZ"/>
        </w:rPr>
        <w:t>ÜRKİYE</w:t>
      </w:r>
      <w:r w:rsidR="00301EB8" w:rsidRPr="00BF5255">
        <w:rPr>
          <w:rFonts w:ascii="Arial" w:hAnsi="Arial" w:cs="Arial"/>
          <w:b/>
          <w:bCs/>
          <w:sz w:val="28"/>
          <w:szCs w:val="28"/>
          <w:lang w:val="az-Latn-AZ"/>
        </w:rPr>
        <w:t xml:space="preserve">  </w:t>
      </w:r>
    </w:p>
    <w:p w14:paraId="043A6172" w14:textId="6FE1E29E" w:rsidR="00B96BB2" w:rsidRPr="00BF5255" w:rsidRDefault="00B96BB2"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According to the 2024 report of the World Meteorological Organization, the past decade has been recorded as the hottest ten-year period in human history. The year 2024, based on 175 years of observational data, has been the hottest year ever recorded. According to the data presented in the report, the average temperature in 2024 increased by 1.55°C compared to the reference period of 1850–1900. This increase in temperature is </w:t>
      </w:r>
      <w:r w:rsidR="00CA5977" w:rsidRPr="00BF5255">
        <w:rPr>
          <w:rFonts w:ascii="Arial" w:hAnsi="Arial" w:cs="Arial"/>
          <w:sz w:val="28"/>
          <w:szCs w:val="28"/>
          <w:lang w:val="az-Latn-AZ"/>
        </w:rPr>
        <w:t>not merely a statistical figure;</w:t>
      </w:r>
      <w:r w:rsidRPr="00BF5255">
        <w:rPr>
          <w:rFonts w:ascii="Arial" w:hAnsi="Arial" w:cs="Arial"/>
          <w:sz w:val="28"/>
          <w:szCs w:val="28"/>
          <w:lang w:val="az-Latn-AZ"/>
        </w:rPr>
        <w:t xml:space="preserve"> it emerges as the primary cause of numerous disasters such as droughts, floods, forest fires, and extreme weather events.</w:t>
      </w:r>
    </w:p>
    <w:p w14:paraId="2D48D4CD" w14:textId="1BB8D623" w:rsidR="00B96BB2" w:rsidRPr="00BF5255" w:rsidRDefault="00B96BB2" w:rsidP="00802C0D">
      <w:pPr>
        <w:ind w:right="-279"/>
        <w:jc w:val="both"/>
        <w:rPr>
          <w:rFonts w:ascii="Arial" w:hAnsi="Arial" w:cs="Arial"/>
          <w:sz w:val="28"/>
          <w:szCs w:val="28"/>
          <w:lang w:val="az-Latn-AZ"/>
        </w:rPr>
      </w:pPr>
      <w:r w:rsidRPr="00BF5255">
        <w:rPr>
          <w:rFonts w:ascii="Arial" w:hAnsi="Arial" w:cs="Arial"/>
          <w:sz w:val="28"/>
          <w:szCs w:val="28"/>
          <w:lang w:val="az-Latn-AZ"/>
        </w:rPr>
        <w:t>Reports of the Intergovernmental Panel on Climate Change (IPCC) indicate that the Mediterranean Basin is among the regions that will be most affected by climate change. Türkiye, located within this sensitive region, is directly impacted by extreme weather events such as drought, sudden precipitation, floods, heatwaves, and forest fires associated with climate change. While approximately 600 meteorological disasters occur annually across Türkiye, this number rose to 1,457 in 2023 and 1,275 in 2024. It should not be overlooked that these disasters lead not only to environmental but also to multidimensional crises related to social, economic, and health aspects.</w:t>
      </w:r>
    </w:p>
    <w:p w14:paraId="6D404FC7" w14:textId="485461D0" w:rsidR="00B96BB2" w:rsidRPr="00BF5255" w:rsidRDefault="00B96BB2" w:rsidP="00802C0D">
      <w:pPr>
        <w:ind w:right="-279"/>
        <w:jc w:val="both"/>
        <w:rPr>
          <w:rFonts w:ascii="Arial" w:hAnsi="Arial" w:cs="Arial"/>
          <w:sz w:val="28"/>
          <w:szCs w:val="28"/>
          <w:lang w:val="az-Latn-AZ"/>
        </w:rPr>
      </w:pPr>
      <w:r w:rsidRPr="00BF5255">
        <w:rPr>
          <w:rFonts w:ascii="Arial" w:hAnsi="Arial" w:cs="Arial"/>
          <w:sz w:val="28"/>
          <w:szCs w:val="28"/>
          <w:lang w:val="az-Latn-AZ"/>
        </w:rPr>
        <w:t>Within this framework, under the Climate Change Adaptation Strategy and Action Plan (2024–2030), the health and biodiversity sectors have been identified as priority vulnerable areas, and comprehensive strategic objectives and actions have been established for these sectors.</w:t>
      </w:r>
    </w:p>
    <w:p w14:paraId="083DC45E" w14:textId="6951304A" w:rsidR="00B96BB2" w:rsidRPr="00BF5255" w:rsidRDefault="00B96BB2" w:rsidP="00802C0D">
      <w:pPr>
        <w:ind w:right="-279"/>
        <w:jc w:val="both"/>
        <w:rPr>
          <w:rFonts w:ascii="Arial" w:hAnsi="Arial" w:cs="Arial"/>
          <w:sz w:val="28"/>
          <w:szCs w:val="28"/>
          <w:lang w:val="az-Latn-AZ"/>
        </w:rPr>
      </w:pPr>
      <w:r w:rsidRPr="00BF5255">
        <w:rPr>
          <w:rFonts w:ascii="Arial" w:hAnsi="Arial" w:cs="Arial"/>
          <w:sz w:val="28"/>
          <w:szCs w:val="28"/>
          <w:lang w:val="az-Latn-AZ"/>
        </w:rPr>
        <w:t>From the perspective of the biodiversity sector, climate change poses serious threats such as degradation of natural habitats, changes in species migration routes, declines in populations, and the risk of extinction of endemic species. In addition, the weakening of ecosystem services such as pollination, regulation of the water cycle, and carbon sequestration leads to disruptions in ecological balance. In this context, in line with ecosystem-based approaches and nature-based solutions, it is planned to revise the management plans of protected areas in a climate-sensitive manner, to develop climate-adaptive conservation strategies for vulnerable species and habitats, to carry out the restoration and rehabilitation of local ecosystems, and to establish monitoring systems for ecosystem services. The objective is to make natural species and habitats more resilient to climate change.</w:t>
      </w:r>
    </w:p>
    <w:p w14:paraId="43FCEC78" w14:textId="10DC650E" w:rsidR="00ED75DD" w:rsidRPr="00BF5255" w:rsidRDefault="00B96BB2" w:rsidP="00802C0D">
      <w:pPr>
        <w:ind w:right="-279"/>
        <w:jc w:val="both"/>
        <w:rPr>
          <w:rFonts w:ascii="Arial" w:hAnsi="Arial" w:cs="Arial"/>
          <w:sz w:val="28"/>
          <w:szCs w:val="28"/>
          <w:lang w:val="az-Latn-AZ"/>
        </w:rPr>
      </w:pPr>
      <w:r w:rsidRPr="00BF5255">
        <w:rPr>
          <w:rFonts w:ascii="Arial" w:hAnsi="Arial" w:cs="Arial"/>
          <w:sz w:val="28"/>
          <w:szCs w:val="28"/>
          <w:lang w:val="az-Latn-AZ"/>
        </w:rPr>
        <w:t>With regard to the health sector, the impacts of climate change include an increase in cardiovascular and respiratory diseases due to extreme heat, a rise in water- and food-borne infections, the expansion of the distribution areas of vector-borne diseases (such as malaria and tick-borne infections),</w:t>
      </w:r>
      <w:r w:rsidR="00C81F29" w:rsidRPr="00BF5255">
        <w:rPr>
          <w:rFonts w:ascii="Arial" w:hAnsi="Arial" w:cs="Arial"/>
          <w:sz w:val="28"/>
          <w:szCs w:val="28"/>
          <w:lang w:val="az-Latn-AZ"/>
        </w:rPr>
        <w:t xml:space="preserve"> </w:t>
      </w:r>
      <w:r w:rsidRPr="00BF5255">
        <w:rPr>
          <w:rFonts w:ascii="Arial" w:hAnsi="Arial" w:cs="Arial"/>
          <w:sz w:val="28"/>
          <w:szCs w:val="28"/>
          <w:lang w:val="az-Latn-AZ"/>
        </w:rPr>
        <w:t>particularly in the aftermath of disasters. In this context, it is aimed to establish an integrated system to protect public health against climate risks. Among the strategic actions are the systematic monitoring of health impacts associated with climate change, the development of early warning systems, the strengthening of the resilience of health infrastructure, and the enhancement of awareness and response capacity, particularly for vulnerable groups. Thus, it is aimed to transform the health system into a more resilient, preventive, and inclusive structure against climate change.</w:t>
      </w:r>
    </w:p>
    <w:p w14:paraId="5ACE4938" w14:textId="721D850D"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The Zero Waste Project, initiated in 2017 under the leadership of the </w:t>
      </w:r>
      <w:r w:rsidR="00226E8C" w:rsidRPr="00BF5255">
        <w:rPr>
          <w:rFonts w:ascii="Arial" w:hAnsi="Arial" w:cs="Arial"/>
          <w:sz w:val="28"/>
          <w:szCs w:val="28"/>
          <w:lang w:val="az-Latn-AZ"/>
        </w:rPr>
        <w:t xml:space="preserve">First Lady </w:t>
      </w:r>
      <w:r w:rsidRPr="00BF5255">
        <w:rPr>
          <w:rFonts w:ascii="Arial" w:hAnsi="Arial" w:cs="Arial"/>
          <w:sz w:val="28"/>
          <w:szCs w:val="28"/>
          <w:lang w:val="az-Latn-AZ"/>
        </w:rPr>
        <w:t xml:space="preserve">of the Republic of Türkiye, </w:t>
      </w:r>
      <w:r w:rsidR="00226E8C" w:rsidRPr="00BF5255">
        <w:rPr>
          <w:rFonts w:ascii="Arial" w:hAnsi="Arial" w:cs="Arial"/>
          <w:sz w:val="28"/>
          <w:szCs w:val="28"/>
          <w:lang w:val="az-Latn-AZ"/>
        </w:rPr>
        <w:t xml:space="preserve">H.E. Emine Erdoğan </w:t>
      </w:r>
      <w:r w:rsidRPr="00BF5255">
        <w:rPr>
          <w:rFonts w:ascii="Arial" w:hAnsi="Arial" w:cs="Arial"/>
          <w:sz w:val="28"/>
          <w:szCs w:val="28"/>
          <w:lang w:val="az-Latn-AZ"/>
        </w:rPr>
        <w:t>has evolved into a global environmental movement. Within the scope of the activities carried out, the establishment of zero waste management systems has been completed in 205,000 buildings/campuses. A “Zero Waste Management System Plan” has been prepared for all 81 provinces.</w:t>
      </w:r>
    </w:p>
    <w:p w14:paraId="2A26195E" w14:textId="3512E44B"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In order to disseminate the zero waste approach and best practices, promote sustainable production and consumption habits, and carry out education and awareness activities, cooperation protocols are concluded with institutions and organizations. In order to transform zero waste into a way of life, training has been provided to 25 million people.</w:t>
      </w:r>
    </w:p>
    <w:p w14:paraId="4D81ACE2" w14:textId="74E5016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The recovery rate, which was 13% in 2017, increased to 27.2% in 2021, to 30.13% in 2022, and to 36.08% in 2024. It is targeted to increase the recovery rate to 60% by 2035 and to 70% by 2053.</w:t>
      </w:r>
    </w:p>
    <w:p w14:paraId="54957C6E" w14:textId="65456A16"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Since the launch of the Zero Waste Project, a total of 59.9 million tons of recyclable waste has been recovered, contributing 185 billion TRY to the national economy. From the collected waste, savings of 2.6 billion kWh of energy, 819 million m³ of water, 104 million m³ of landfill space, and 127 million barrels of oil have been achieved. In addition, the cutting of 498 million trees and the emission of 5.9 million tons of greenhouse gases have been prevented.</w:t>
      </w:r>
    </w:p>
    <w:p w14:paraId="022D780C" w14:textId="7913C32E"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The Zero Waste Project, which has paved the way for a major and rapid transformation in waste management in Türkiye, has also attracted international attention. Carried out under the slogan “Our World is Our Common Home,” the project has been awarded six international awards: by the Food and Agriculture Organization of the United Nations (FAO) in 2018, the United Nations Development Programme in 2021, UN-Habitat in the same year, the Parliamentary Assembly of the Mediterranean in 2022, the World Bank in 2022, and most recently again by the Parliamentary Assembly of the Mediterranean in 2024.</w:t>
      </w:r>
    </w:p>
    <w:p w14:paraId="1AD25A40" w14:textId="28CD605E"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In September 2022, the “Global Zero Waste Goodwill Declaration,” signed by the United Nations Secretary-General Antonio Guterres and H.E. Mrs. Emine Erdoğan within the scope of combating the climate crisis, and subsequently signed in September 2023 by H.E. President Recep Tayyip Erdoğan, marked the first step toward the global dissemination of the Zero Waste Project. The resolution titled “Promoting Zero Waste Initiatives to Advance the Sustainable Development Goals,” submitted by Türkiye to the United Nations General Assembly, was adopted unanimously with the co-sponsorship of 105 countries, and it was decided to designate 30 March as the International Day of Zero Waste.</w:t>
      </w:r>
    </w:p>
    <w:p w14:paraId="2CF9579F" w14:textId="37F24309" w:rsidR="00185A1E" w:rsidRPr="00BF5255" w:rsidRDefault="00011CB7"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30 </w:t>
      </w:r>
      <w:r w:rsidR="00D70578" w:rsidRPr="00BF5255">
        <w:rPr>
          <w:rFonts w:ascii="Arial" w:hAnsi="Arial" w:cs="Arial"/>
          <w:sz w:val="28"/>
          <w:szCs w:val="28"/>
          <w:lang w:val="az-Latn-AZ"/>
        </w:rPr>
        <w:t>March, the</w:t>
      </w:r>
      <w:r w:rsidR="00185A1E" w:rsidRPr="00BF5255">
        <w:rPr>
          <w:rFonts w:ascii="Arial" w:hAnsi="Arial" w:cs="Arial"/>
          <w:sz w:val="28"/>
          <w:szCs w:val="28"/>
          <w:lang w:val="az-Latn-AZ"/>
        </w:rPr>
        <w:t xml:space="preserve"> International Day of Zero Waste, first celebrated in 2023, was marked in New York, in Türkiye, within UN bodies, and in international organizations. </w:t>
      </w:r>
      <w:r w:rsidR="00226E8C" w:rsidRPr="00BF5255">
        <w:rPr>
          <w:rFonts w:ascii="Arial" w:hAnsi="Arial" w:cs="Arial"/>
          <w:sz w:val="28"/>
          <w:szCs w:val="28"/>
          <w:lang w:val="az-Latn-AZ"/>
        </w:rPr>
        <w:t xml:space="preserve">H.E. Emine Erdoğan, First Lady of Republic of Türkiye attented the event at the UN Headquarters. </w:t>
      </w:r>
      <w:r w:rsidR="00185A1E" w:rsidRPr="00BF5255">
        <w:rPr>
          <w:rFonts w:ascii="Arial" w:hAnsi="Arial" w:cs="Arial"/>
          <w:sz w:val="28"/>
          <w:szCs w:val="28"/>
          <w:lang w:val="az-Latn-AZ"/>
        </w:rPr>
        <w:t>On the occasion of the second celebration in 2024, various events were organized around the world, particularly at the UN Headquarters in New York, USA. The celebrations, attended via a video message by H.E. Mrs. Emine Erdoğan, were held with the participation of UN Member States, international organizations, permanent missions, and foreign missions.</w:t>
      </w:r>
      <w:r w:rsidR="00226E8C" w:rsidRPr="00BF5255">
        <w:rPr>
          <w:rFonts w:ascii="Arial" w:hAnsi="Arial" w:cs="Arial"/>
          <w:sz w:val="28"/>
          <w:szCs w:val="28"/>
          <w:lang w:val="az-Latn-AZ"/>
        </w:rPr>
        <w:t xml:space="preserve"> The International Day of Zero Waste was also celebrated in 2025 and 2026. H.E. Emine Erdoğan also joined the event that took place at the UN Headquarters in 2025 as a keynote speaker along with the UN Secretary General. </w:t>
      </w:r>
    </w:p>
    <w:p w14:paraId="4BA69FA4" w14:textId="2AFACB83"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Within the framework of the 2030 Agenda for Sustainable Development, the promotion of the zero waste approach has been adopted by the UN General Assembly. In order to encourage local and national zero waste initiatives through the sharing of best practices and success stories, the “UN </w:t>
      </w:r>
      <w:r w:rsidR="00A919EA" w:rsidRPr="00BF5255">
        <w:rPr>
          <w:rFonts w:ascii="Arial" w:hAnsi="Arial" w:cs="Arial"/>
          <w:sz w:val="28"/>
          <w:szCs w:val="28"/>
          <w:lang w:val="az-Latn-AZ"/>
        </w:rPr>
        <w:t xml:space="preserve">Secretary General’s </w:t>
      </w:r>
      <w:r w:rsidRPr="00BF5255">
        <w:rPr>
          <w:rFonts w:ascii="Arial" w:hAnsi="Arial" w:cs="Arial"/>
          <w:sz w:val="28"/>
          <w:szCs w:val="28"/>
          <w:lang w:val="az-Latn-AZ"/>
        </w:rPr>
        <w:t>Advisory Board</w:t>
      </w:r>
      <w:r w:rsidR="00A919EA" w:rsidRPr="00BF5255">
        <w:rPr>
          <w:rFonts w:ascii="Arial" w:hAnsi="Arial" w:cs="Arial"/>
          <w:sz w:val="28"/>
          <w:szCs w:val="28"/>
          <w:lang w:val="az-Latn-AZ"/>
        </w:rPr>
        <w:t xml:space="preserve"> of Eminent Persons and Zero Waste</w:t>
      </w:r>
      <w:r w:rsidRPr="00BF5255">
        <w:rPr>
          <w:rFonts w:ascii="Arial" w:hAnsi="Arial" w:cs="Arial"/>
          <w:sz w:val="28"/>
          <w:szCs w:val="28"/>
          <w:lang w:val="az-Latn-AZ"/>
        </w:rPr>
        <w:t xml:space="preserve">,” composed of distinguished individuals, </w:t>
      </w:r>
      <w:r w:rsidR="00A919EA" w:rsidRPr="00BF5255">
        <w:rPr>
          <w:rFonts w:ascii="Arial" w:hAnsi="Arial" w:cs="Arial"/>
          <w:sz w:val="28"/>
          <w:szCs w:val="28"/>
          <w:lang w:val="az-Latn-AZ"/>
        </w:rPr>
        <w:t xml:space="preserve">including H.E. Emine Erdoğan as its Chair, </w:t>
      </w:r>
      <w:r w:rsidRPr="00BF5255">
        <w:rPr>
          <w:rFonts w:ascii="Arial" w:hAnsi="Arial" w:cs="Arial"/>
          <w:sz w:val="28"/>
          <w:szCs w:val="28"/>
          <w:lang w:val="az-Latn-AZ"/>
        </w:rPr>
        <w:t>was established as of April 2023.</w:t>
      </w:r>
    </w:p>
    <w:p w14:paraId="77235F11" w14:textId="603BEA83"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T</w:t>
      </w:r>
      <w:r w:rsidR="00D70578" w:rsidRPr="00BF5255">
        <w:rPr>
          <w:rFonts w:ascii="Arial" w:hAnsi="Arial" w:cs="Arial"/>
          <w:sz w:val="28"/>
          <w:szCs w:val="28"/>
          <w:lang w:val="az-Latn-AZ"/>
        </w:rPr>
        <w:t>he UN Zero Waste Advisory Board h</w:t>
      </w:r>
      <w:r w:rsidRPr="00BF5255">
        <w:rPr>
          <w:rFonts w:ascii="Arial" w:hAnsi="Arial" w:cs="Arial"/>
          <w:sz w:val="28"/>
          <w:szCs w:val="28"/>
          <w:lang w:val="az-Latn-AZ"/>
        </w:rPr>
        <w:t>eld its first official meeting in person on 1 November 2023 in I</w:t>
      </w:r>
      <w:r w:rsidR="00D70578" w:rsidRPr="00BF5255">
        <w:rPr>
          <w:rFonts w:ascii="Arial" w:hAnsi="Arial" w:cs="Arial"/>
          <w:sz w:val="28"/>
          <w:szCs w:val="28"/>
          <w:lang w:val="az-Latn-AZ"/>
        </w:rPr>
        <w:t xml:space="preserve">stanbul during World Cities Day. The </w:t>
      </w:r>
      <w:r w:rsidRPr="00BF5255">
        <w:rPr>
          <w:rFonts w:ascii="Arial" w:hAnsi="Arial" w:cs="Arial"/>
          <w:sz w:val="28"/>
          <w:szCs w:val="28"/>
          <w:lang w:val="az-Latn-AZ"/>
        </w:rPr>
        <w:t xml:space="preserve">second official meeting </w:t>
      </w:r>
      <w:r w:rsidR="00D70578" w:rsidRPr="00BF5255">
        <w:rPr>
          <w:rFonts w:ascii="Arial" w:hAnsi="Arial" w:cs="Arial"/>
          <w:sz w:val="28"/>
          <w:szCs w:val="28"/>
          <w:lang w:val="az-Latn-AZ"/>
        </w:rPr>
        <w:t>was held online on 5 June 2024</w:t>
      </w:r>
      <w:r w:rsidR="00C81F29" w:rsidRPr="00BF5255">
        <w:rPr>
          <w:rFonts w:ascii="Arial" w:hAnsi="Arial" w:cs="Arial"/>
          <w:sz w:val="28"/>
          <w:szCs w:val="28"/>
          <w:lang w:val="az-Latn-AZ"/>
        </w:rPr>
        <w:t xml:space="preserve"> </w:t>
      </w:r>
      <w:r w:rsidRPr="00BF5255">
        <w:rPr>
          <w:rFonts w:ascii="Arial" w:hAnsi="Arial" w:cs="Arial"/>
          <w:sz w:val="28"/>
          <w:szCs w:val="28"/>
          <w:lang w:val="az-Latn-AZ"/>
        </w:rPr>
        <w:t xml:space="preserve">its third official meeting </w:t>
      </w:r>
      <w:r w:rsidR="00D70578" w:rsidRPr="00BF5255">
        <w:rPr>
          <w:rFonts w:ascii="Arial" w:hAnsi="Arial" w:cs="Arial"/>
          <w:sz w:val="28"/>
          <w:szCs w:val="28"/>
        </w:rPr>
        <w:t xml:space="preserve">was </w:t>
      </w:r>
      <w:r w:rsidRPr="00BF5255">
        <w:rPr>
          <w:rFonts w:ascii="Arial" w:hAnsi="Arial" w:cs="Arial"/>
          <w:sz w:val="28"/>
          <w:szCs w:val="28"/>
          <w:lang w:val="az-Latn-AZ"/>
        </w:rPr>
        <w:t>in person on 13 December 2024 in Istanbul</w:t>
      </w:r>
      <w:r w:rsidR="00A919EA" w:rsidRPr="00BF5255">
        <w:rPr>
          <w:rFonts w:ascii="Arial" w:hAnsi="Arial" w:cs="Arial"/>
          <w:sz w:val="28"/>
          <w:szCs w:val="28"/>
          <w:lang w:val="az-Latn-AZ"/>
        </w:rPr>
        <w:t xml:space="preserve"> and the fourth one was also held in person on 18 October 2025 in Istanbul. </w:t>
      </w:r>
    </w:p>
    <w:p w14:paraId="7C80D28A" w14:textId="47EBC511" w:rsidR="005F42E0" w:rsidRPr="00BF5255" w:rsidRDefault="005F42E0"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It </w:t>
      </w:r>
      <w:r w:rsidR="00382DE8" w:rsidRPr="00BF5255">
        <w:rPr>
          <w:rFonts w:ascii="Arial" w:hAnsi="Arial" w:cs="Arial"/>
          <w:sz w:val="28"/>
          <w:szCs w:val="28"/>
          <w:lang w:val="az-Latn-AZ"/>
        </w:rPr>
        <w:t>aims</w:t>
      </w:r>
      <w:r w:rsidRPr="00BF5255">
        <w:rPr>
          <w:rFonts w:ascii="Arial" w:hAnsi="Arial" w:cs="Arial"/>
          <w:sz w:val="28"/>
          <w:szCs w:val="28"/>
          <w:lang w:val="az-Latn-AZ"/>
        </w:rPr>
        <w:t xml:space="preserve"> to continue Zero Waste training and awareness activities so that people from all segments of society support recycling. In this way, it is intended to accelerate efforts </w:t>
      </w:r>
      <w:r w:rsidR="00382DE8" w:rsidRPr="00BF5255">
        <w:rPr>
          <w:rFonts w:ascii="Arial" w:hAnsi="Arial" w:cs="Arial"/>
          <w:sz w:val="28"/>
          <w:szCs w:val="28"/>
          <w:lang w:val="az-Latn-AZ"/>
        </w:rPr>
        <w:t>to separate</w:t>
      </w:r>
      <w:r w:rsidRPr="00BF5255">
        <w:rPr>
          <w:rFonts w:ascii="Arial" w:hAnsi="Arial" w:cs="Arial"/>
          <w:sz w:val="28"/>
          <w:szCs w:val="28"/>
          <w:lang w:val="az-Latn-AZ"/>
        </w:rPr>
        <w:t xml:space="preserve"> waste at the source and to increase our country’s recycling rate to 60% by 2035 within the scope of zero waste initiatives.</w:t>
      </w:r>
    </w:p>
    <w:p w14:paraId="737D94E0" w14:textId="183441F7" w:rsidR="005F42E0" w:rsidRPr="00BF5255" w:rsidRDefault="005F42E0" w:rsidP="00802C0D">
      <w:pPr>
        <w:ind w:right="-279"/>
        <w:jc w:val="both"/>
        <w:rPr>
          <w:rFonts w:ascii="Arial" w:hAnsi="Arial" w:cs="Arial"/>
          <w:sz w:val="28"/>
          <w:szCs w:val="28"/>
          <w:lang w:val="az-Latn-AZ"/>
        </w:rPr>
      </w:pPr>
      <w:r w:rsidRPr="00BF5255">
        <w:rPr>
          <w:rFonts w:ascii="Arial" w:hAnsi="Arial" w:cs="Arial"/>
          <w:sz w:val="28"/>
          <w:szCs w:val="28"/>
          <w:lang w:val="az-Latn-AZ"/>
        </w:rPr>
        <w:t>By expanding best practices of Zero Waste, it will be ensured that they serve as a model for the work of the UN Zero Waste Advisory Board.</w:t>
      </w:r>
    </w:p>
    <w:p w14:paraId="27D37028" w14:textId="54521249" w:rsidR="00A919EA" w:rsidRPr="00BF5255" w:rsidRDefault="00A919EA" w:rsidP="00802C0D">
      <w:pPr>
        <w:ind w:right="-279"/>
        <w:jc w:val="both"/>
        <w:rPr>
          <w:rFonts w:ascii="Arial" w:hAnsi="Arial" w:cs="Arial"/>
          <w:sz w:val="28"/>
          <w:szCs w:val="28"/>
          <w:lang w:val="az-Latn-AZ"/>
        </w:rPr>
      </w:pPr>
      <w:r w:rsidRPr="00BF5255">
        <w:rPr>
          <w:rFonts w:ascii="Arial" w:hAnsi="Arial" w:cs="Arial"/>
          <w:sz w:val="28"/>
          <w:szCs w:val="28"/>
          <w:lang w:val="az-Latn-AZ"/>
        </w:rPr>
        <w:t>On October 17–19, 2025, the “Zero Waste” Forum was held in Istanbul, Republic of Türkiye, aimed at bringing together stakeholders to discuss effective waste management in line with zero waste approaches. The forum brought together actors/stakeholders from around the world—from city leaders and community organizations to innovators and policymakers to take concrete steps toward a zero-waste world.</w:t>
      </w:r>
    </w:p>
    <w:p w14:paraId="35616486" w14:textId="52271EE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In order to contribute to Türkiye’s transition to a sustainable and resource-efficient economy and to accelerate the shift to a circular economy, within the framework of the Green Deal Action Plan prepared in 2021, the “Technical Assistance Project for the Assessment of Türkiye’s Potential for Transition to a Circular Economy (DEEP)” was officially launched on 07.02.2022 with funding from the European Union (EU) under the IPA II period. The three-year project was officially completed on 11.02.2025.</w:t>
      </w:r>
    </w:p>
    <w:p w14:paraId="4607365E" w14:textId="1DE881D9"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Among the main objectives of the project, which prioritizes seven sectors with intensive resource use and high environmental impact (plastics, textiles, packaging, food and biomass, electronics and ICT, batteries and vehicles, construction and buildings), are:</w:t>
      </w:r>
    </w:p>
    <w:p w14:paraId="1DBD8D64"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To promote the transition to a circular economy contributing to more efficient resource and waste management across Türkiye,</w:t>
      </w:r>
    </w:p>
    <w:p w14:paraId="0BE5F59F"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To strengthen Türkiye’s institutional and technical capacity in transitioning to a circular economy in line with the EU Circular Economy Package,</w:t>
      </w:r>
    </w:p>
    <w:p w14:paraId="4AF327EB" w14:textId="2FAAA0BA"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To develop a comprehensive national strategy and action plan tailored to national conditions.</w:t>
      </w:r>
    </w:p>
    <w:p w14:paraId="15E21CFB" w14:textId="24054253"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Key outputs of the project include:</w:t>
      </w:r>
    </w:p>
    <w:p w14:paraId="1E7E74DF"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Preparation of the National Circular Economy Strategy and Action Plan in line with the Circular Economy Package,</w:t>
      </w:r>
    </w:p>
    <w:p w14:paraId="7A0B752A" w14:textId="74489BE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Preparation of the Roadmap on Single-Use Plastics, Marine Litter, and Microplastics.</w:t>
      </w:r>
    </w:p>
    <w:p w14:paraId="3512BCFE" w14:textId="77777777" w:rsidR="00A466A1"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Within the framework of the Environmental Law No. 2872, in order to ensure a healthy and livable environment for present and future generations, Türkiye’s waste management strategies and policies are being developed in line with sustainability and circular economy principles and the zero waste approach, taking into account international norms and national priorities. For this purpose, the National Waste Management Strategy and Plan has been prepared, determining regionally the recovery, pre-treatment, interim storage, and disposal methods for all types of waste, as well as the required facility capacities and investments for waste management activities planned until 2035. Accordingly, it is aimed to recover 60% of waste by 2035.</w:t>
      </w:r>
    </w:p>
    <w:p w14:paraId="4327EBC3" w14:textId="75A07B6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In line with the Sustainable Development Goals, the Paris Agreement, the European Green Deal, the 2053 Net Zero </w:t>
      </w:r>
      <w:r w:rsidR="00A919EA" w:rsidRPr="00BF5255">
        <w:rPr>
          <w:rFonts w:ascii="Arial" w:hAnsi="Arial" w:cs="Arial"/>
          <w:sz w:val="28"/>
          <w:szCs w:val="28"/>
          <w:lang w:val="az-Latn-AZ"/>
        </w:rPr>
        <w:t xml:space="preserve">Emissions </w:t>
      </w:r>
      <w:r w:rsidRPr="00BF5255">
        <w:rPr>
          <w:rFonts w:ascii="Arial" w:hAnsi="Arial" w:cs="Arial"/>
          <w:sz w:val="28"/>
          <w:szCs w:val="28"/>
          <w:lang w:val="az-Latn-AZ"/>
        </w:rPr>
        <w:t>Target, and the “Century of Türkiye” vision under the heading “The Century of Sustainability,” the Ministry of Environment, Urbanisation and Climate Change of the Republic of Türkiye carries out activities within the scope of environmental sustainability and green transformation.</w:t>
      </w:r>
    </w:p>
    <w:p w14:paraId="4176006D" w14:textId="6F3B91C1"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Within the framework of the 2030 Sustainable Development Goals, particularly Goal 12 “Responsible Consumption and Production” and target 12.1 “Implementation of the 10-Year Framework of Programmes on Sustainable Consumption and Production,” the General Directorate of Environmental Management serves as the national focal point. In this context, activities carried out in this field are reported annually to the United Nations Secretariat, and work is being conducted by the Ministry of Environment, Urbanisation and Climate Change of the Republic of Türkiye to prepare the National Action Plan on Sustainable Consumption and Production (SCP-NAP). Within this scope, the SCP-NAP Project, launched in 2023 under the coordination of Boğaziçi University, aims to develop Sectoral and National SCP-NAP and Strategy Documents, as well as an action monitoring software, for seven sectors identified as “food, fisheries and agriculture,” “textiles,” “automotive,” “housing and construction,” “plastics,” “consumer goods manufacturing,” and “tourism.”</w:t>
      </w:r>
    </w:p>
    <w:p w14:paraId="4A668F3E" w14:textId="34EE0925"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Based on Türkiye’s 2053 </w:t>
      </w:r>
      <w:r w:rsidR="00A919EA" w:rsidRPr="00BF5255">
        <w:rPr>
          <w:rFonts w:ascii="Arial" w:hAnsi="Arial" w:cs="Arial"/>
          <w:sz w:val="28"/>
          <w:szCs w:val="28"/>
          <w:lang w:val="az-Latn-AZ"/>
        </w:rPr>
        <w:t>Net - Z</w:t>
      </w:r>
      <w:r w:rsidRPr="00BF5255">
        <w:rPr>
          <w:rFonts w:ascii="Arial" w:hAnsi="Arial" w:cs="Arial"/>
          <w:sz w:val="28"/>
          <w:szCs w:val="28"/>
          <w:lang w:val="az-Latn-AZ"/>
        </w:rPr>
        <w:t xml:space="preserve">ero </w:t>
      </w:r>
      <w:r w:rsidR="00A919EA" w:rsidRPr="00BF5255">
        <w:rPr>
          <w:rFonts w:ascii="Arial" w:hAnsi="Arial" w:cs="Arial"/>
          <w:sz w:val="28"/>
          <w:szCs w:val="28"/>
          <w:lang w:val="az-Latn-AZ"/>
        </w:rPr>
        <w:t>E</w:t>
      </w:r>
      <w:r w:rsidRPr="00BF5255">
        <w:rPr>
          <w:rFonts w:ascii="Arial" w:hAnsi="Arial" w:cs="Arial"/>
          <w:sz w:val="28"/>
          <w:szCs w:val="28"/>
          <w:lang w:val="az-Latn-AZ"/>
        </w:rPr>
        <w:t xml:space="preserve">missions </w:t>
      </w:r>
      <w:r w:rsidR="00A919EA" w:rsidRPr="00BF5255">
        <w:rPr>
          <w:rFonts w:ascii="Arial" w:hAnsi="Arial" w:cs="Arial"/>
          <w:sz w:val="28"/>
          <w:szCs w:val="28"/>
          <w:lang w:val="az-Latn-AZ"/>
        </w:rPr>
        <w:t xml:space="preserve">Target </w:t>
      </w:r>
      <w:r w:rsidRPr="00BF5255">
        <w:rPr>
          <w:rFonts w:ascii="Arial" w:hAnsi="Arial" w:cs="Arial"/>
          <w:sz w:val="28"/>
          <w:szCs w:val="28"/>
          <w:lang w:val="az-Latn-AZ"/>
        </w:rPr>
        <w:t xml:space="preserve">and zero </w:t>
      </w:r>
      <w:r w:rsidR="00A919EA" w:rsidRPr="00BF5255">
        <w:rPr>
          <w:rFonts w:ascii="Arial" w:hAnsi="Arial" w:cs="Arial"/>
          <w:sz w:val="28"/>
          <w:szCs w:val="28"/>
          <w:lang w:val="az-Latn-AZ"/>
        </w:rPr>
        <w:t xml:space="preserve">waste </w:t>
      </w:r>
      <w:r w:rsidRPr="00BF5255">
        <w:rPr>
          <w:rFonts w:ascii="Arial" w:hAnsi="Arial" w:cs="Arial"/>
          <w:sz w:val="28"/>
          <w:szCs w:val="28"/>
          <w:lang w:val="az-Latn-AZ"/>
        </w:rPr>
        <w:t>policies, efforts are being carried out under “Green Transformation in Industry” to achieve the reduction and prevention of industrial pollution at its source through clean, environmentally friendly, and innovative technologies. In this context, harmonization works of the Industrial Emissions Directive (2010/75/EU) are being conducted by the Ministry of Environment, Urbanisation and Climate Change of the Republic of Türkiye. The framework legislation titled “Regulation on the Management of Industrial Emissions,” which was planned to be published in 2024 within the scope of the EU Green Deal and included in the Coordination Council for the Improvement of the Investment Environment (YOİKK) Action Plan, the International Direct Investment (FDI) Strategy, and the National Green Deal Action Plan, was published in the Official Gazette dated 14 January 2025 and numbered 32782, and will enter into force on 1 December 2025. In addition, in accordance with Article 5 of the Regulation, draft Communiqués on Sectoral Best Available Techniques have been prepared for six main sectors—energy production, metal production and processing, minerals, chemical</w:t>
      </w:r>
      <w:r w:rsidR="005B464C" w:rsidRPr="00BF5255">
        <w:rPr>
          <w:rFonts w:ascii="Arial" w:hAnsi="Arial" w:cs="Arial"/>
          <w:sz w:val="28"/>
          <w:szCs w:val="28"/>
          <w:lang w:val="az-Latn-AZ"/>
        </w:rPr>
        <w:t xml:space="preserve">s, waste management, and others </w:t>
      </w:r>
      <w:r w:rsidRPr="00BF5255">
        <w:rPr>
          <w:rFonts w:ascii="Arial" w:hAnsi="Arial" w:cs="Arial"/>
          <w:sz w:val="28"/>
          <w:szCs w:val="28"/>
          <w:lang w:val="az-Latn-AZ"/>
        </w:rPr>
        <w:t>and opened for institutional opinions; following the incorporation of feedback, the draft Communiqués have been finalized.</w:t>
      </w:r>
    </w:p>
    <w:p w14:paraId="0F5A93AB" w14:textId="1BD476B4"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With this Regulation, industrial facilities that certify that they carry out production using the cleanest techniques in terms of environment, energy, and resource efficiency (Best Available Techniques – BAT):</w:t>
      </w:r>
    </w:p>
    <w:p w14:paraId="20DFAE76"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Will gain priority and advantage in access to green finance,</w:t>
      </w:r>
    </w:p>
    <w:p w14:paraId="4034A634"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Will have the opportunity to compete on equal terms in exports,</w:t>
      </w:r>
    </w:p>
    <w:p w14:paraId="3ED901B7"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Will increase their recognition in international platforms, enhancing their reputation,</w:t>
      </w:r>
    </w:p>
    <w:p w14:paraId="2623A7BE"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Will officially certify the application of environmentally friendly production techniques, thereby building trust among the public and investors,</w:t>
      </w:r>
    </w:p>
    <w:p w14:paraId="75CBB9CE" w14:textId="7CE3219C"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Will be encouraged to adopt resource- and energy-efficient production techniques, contributing to reduced costs and increased competitiveness.</w:t>
      </w:r>
    </w:p>
    <w:p w14:paraId="6474457D" w14:textId="45FD3C33"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The Green Transformation Certificate in Industry will be equivalent to the BAT Reference Document obtained through the implementation of Directive 2010/75/EU in EU countries, and third-party verification bodies will also play an active role in certification. With environmental legislation becoming increasingly subject to trade under the Green Deal, it is observed that regulations such as the Waste Shipment Regulation, Taxonomy Regulation, and Batteries Regulation require industrial facilities in countries trading with the EU to operate in accordance with Directive 2010/75/EU. With the publication of this Regulation, the flexibility of Türkiye’s industry to compete in EU and global markets will be ensured, helping to maintain and even increase its current share; in the absence of such legislation, the “Green Transformation Certificate in Industry,” equivalent to the BAT Reference Document, will also protect from the effort and cost of seeking national/international certification mechanisms.</w:t>
      </w:r>
    </w:p>
    <w:p w14:paraId="57A94E42" w14:textId="0B429EEB"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Within this scope, under the Project for the Reduction of Industrial Emissions in Türkiye announced on the World Bank website, it is envisaged that a total of 416.70 million USD in external financing will be provided by the World Bank to industrial facilities implementing best environmental production practices within the framework of green transformation in industry, with the Development and Investment Bank of Türkiye acting as the financial implementing institution and the Ministry of Environment, Urbanisation and Climate Change of the Republic of Türkiye as a permanent member of the Coordination Board. The project plans to support, through loans, applications that ensure the reduction of NOx, PM, and greenhouse gas pollutants in line with the Regulation on the Management of Industrial Emissions and the Sectoral Communiqués.</w:t>
      </w:r>
    </w:p>
    <w:p w14:paraId="55CD786F" w14:textId="0484C4D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The Minister of Treasury and Finance, </w:t>
      </w:r>
      <w:r w:rsidR="00A919EA" w:rsidRPr="00BF5255">
        <w:rPr>
          <w:rFonts w:ascii="Arial" w:hAnsi="Arial" w:cs="Arial"/>
          <w:sz w:val="28"/>
          <w:szCs w:val="28"/>
          <w:lang w:val="az-Latn-AZ"/>
        </w:rPr>
        <w:t xml:space="preserve">H.E. </w:t>
      </w:r>
      <w:r w:rsidRPr="00BF5255">
        <w:rPr>
          <w:rFonts w:ascii="Arial" w:hAnsi="Arial" w:cs="Arial"/>
          <w:sz w:val="28"/>
          <w:szCs w:val="28"/>
          <w:lang w:val="az-Latn-AZ"/>
        </w:rPr>
        <w:t>Mehmet Şimşek, announced that within the framework of strong cooperation with the World Bank, a financial cooperation program covering the next five years has been established, and the Countr</w:t>
      </w:r>
      <w:r w:rsidR="005B464C" w:rsidRPr="00BF5255">
        <w:rPr>
          <w:rFonts w:ascii="Arial" w:hAnsi="Arial" w:cs="Arial"/>
          <w:sz w:val="28"/>
          <w:szCs w:val="28"/>
          <w:lang w:val="az-Latn-AZ"/>
        </w:rPr>
        <w:t xml:space="preserve">y Partnership Framework Program </w:t>
      </w:r>
      <w:r w:rsidRPr="00BF5255">
        <w:rPr>
          <w:rFonts w:ascii="Arial" w:hAnsi="Arial" w:cs="Arial"/>
          <w:sz w:val="28"/>
          <w:szCs w:val="28"/>
          <w:lang w:val="az-Latn-AZ"/>
        </w:rPr>
        <w:t>under which the World Bank will provide an additional 18 billion USD in financing to Türkiye within the first thre</w:t>
      </w:r>
      <w:r w:rsidR="005B464C" w:rsidRPr="00BF5255">
        <w:rPr>
          <w:rFonts w:ascii="Arial" w:hAnsi="Arial" w:cs="Arial"/>
          <w:sz w:val="28"/>
          <w:szCs w:val="28"/>
          <w:lang w:val="az-Latn-AZ"/>
        </w:rPr>
        <w:t xml:space="preserve">e years, including this project </w:t>
      </w:r>
      <w:r w:rsidRPr="00BF5255">
        <w:rPr>
          <w:rFonts w:ascii="Arial" w:hAnsi="Arial" w:cs="Arial"/>
          <w:sz w:val="28"/>
          <w:szCs w:val="28"/>
          <w:lang w:val="az-Latn-AZ"/>
        </w:rPr>
        <w:t>has been signed. Accordingly, the project has also been included in the Annual Investment Program of the Presidency of Strategy and Budget.</w:t>
      </w:r>
    </w:p>
    <w:p w14:paraId="36FCD54D" w14:textId="469226AC" w:rsidR="00ED75DD"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Within the General Directorate of Environmental Management of the Ministry of Environment, Urbanisation and Climate Change of the Republic of Türkiye, it is considered important to carry out cooperation activities and provide contributions with the TURKPA Member States in the context of environmental sustainability and green transformation under the Sustainable Development Goals, and the exchange of knowledge and experience is deemed beneficial.</w:t>
      </w:r>
    </w:p>
    <w:p w14:paraId="41041585" w14:textId="6BFF3B2F"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The strategies and policies of The Ministry of Energy of the Republic of </w:t>
      </w:r>
      <w:r w:rsidR="005B464C" w:rsidRPr="00BF5255">
        <w:rPr>
          <w:rFonts w:ascii="Arial" w:hAnsi="Arial" w:cs="Arial"/>
          <w:sz w:val="28"/>
          <w:szCs w:val="28"/>
          <w:lang w:val="az-Latn-AZ"/>
        </w:rPr>
        <w:t>Türkiye</w:t>
      </w:r>
      <w:r w:rsidRPr="00BF5255">
        <w:rPr>
          <w:rFonts w:ascii="Arial" w:hAnsi="Arial" w:cs="Arial"/>
          <w:sz w:val="28"/>
          <w:szCs w:val="28"/>
          <w:lang w:val="az-Latn-AZ"/>
        </w:rPr>
        <w:t xml:space="preserve"> are based on ensuring energy supply security, diversifying energy sources, integrating domestic and renewable resources into the economy, reducing external dependency, and enabling energy transformation in line with the 2053 </w:t>
      </w:r>
      <w:r w:rsidR="00A919EA" w:rsidRPr="00BF5255">
        <w:rPr>
          <w:rFonts w:ascii="Arial" w:hAnsi="Arial" w:cs="Arial"/>
          <w:sz w:val="28"/>
          <w:szCs w:val="28"/>
          <w:lang w:val="az-Latn-AZ"/>
        </w:rPr>
        <w:t>N</w:t>
      </w:r>
      <w:r w:rsidRPr="00BF5255">
        <w:rPr>
          <w:rFonts w:ascii="Arial" w:hAnsi="Arial" w:cs="Arial"/>
          <w:sz w:val="28"/>
          <w:szCs w:val="28"/>
          <w:lang w:val="az-Latn-AZ"/>
        </w:rPr>
        <w:t>et-</w:t>
      </w:r>
      <w:r w:rsidR="00A919EA" w:rsidRPr="00BF5255">
        <w:rPr>
          <w:rFonts w:ascii="Arial" w:hAnsi="Arial" w:cs="Arial"/>
          <w:sz w:val="28"/>
          <w:szCs w:val="28"/>
          <w:lang w:val="az-Latn-AZ"/>
        </w:rPr>
        <w:t>Z</w:t>
      </w:r>
      <w:r w:rsidRPr="00BF5255">
        <w:rPr>
          <w:rFonts w:ascii="Arial" w:hAnsi="Arial" w:cs="Arial"/>
          <w:sz w:val="28"/>
          <w:szCs w:val="28"/>
          <w:lang w:val="az-Latn-AZ"/>
        </w:rPr>
        <w:t>ero</w:t>
      </w:r>
      <w:r w:rsidR="00A919EA" w:rsidRPr="00BF5255">
        <w:rPr>
          <w:rFonts w:ascii="Arial" w:hAnsi="Arial" w:cs="Arial"/>
          <w:sz w:val="28"/>
          <w:szCs w:val="28"/>
          <w:lang w:val="az-Latn-AZ"/>
        </w:rPr>
        <w:t xml:space="preserve"> Emissions</w:t>
      </w:r>
      <w:r w:rsidRPr="00BF5255">
        <w:rPr>
          <w:rFonts w:ascii="Arial" w:hAnsi="Arial" w:cs="Arial"/>
          <w:sz w:val="28"/>
          <w:szCs w:val="28"/>
          <w:lang w:val="az-Latn-AZ"/>
        </w:rPr>
        <w:t xml:space="preserve"> </w:t>
      </w:r>
      <w:r w:rsidR="00A919EA" w:rsidRPr="00BF5255">
        <w:rPr>
          <w:rFonts w:ascii="Arial" w:hAnsi="Arial" w:cs="Arial"/>
          <w:sz w:val="28"/>
          <w:szCs w:val="28"/>
          <w:lang w:val="az-Latn-AZ"/>
        </w:rPr>
        <w:t>T</w:t>
      </w:r>
      <w:r w:rsidRPr="00BF5255">
        <w:rPr>
          <w:rFonts w:ascii="Arial" w:hAnsi="Arial" w:cs="Arial"/>
          <w:sz w:val="28"/>
          <w:szCs w:val="28"/>
          <w:lang w:val="az-Latn-AZ"/>
        </w:rPr>
        <w:t>arget. In this context, significant investments have been made particularly in the field of renewable energy, and measures have been taken to ensure supply security.</w:t>
      </w:r>
      <w:r w:rsidR="005B464C" w:rsidRPr="00BF5255">
        <w:rPr>
          <w:rFonts w:ascii="Arial" w:hAnsi="Arial" w:cs="Arial"/>
          <w:sz w:val="28"/>
          <w:szCs w:val="28"/>
          <w:lang w:val="az-Latn-AZ"/>
        </w:rPr>
        <w:t xml:space="preserve"> </w:t>
      </w:r>
    </w:p>
    <w:p w14:paraId="54BA737F" w14:textId="2BBD63B6"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One of the fundamental elements of </w:t>
      </w:r>
      <w:r w:rsidR="005B464C" w:rsidRPr="00BF5255">
        <w:rPr>
          <w:rFonts w:ascii="Arial" w:hAnsi="Arial" w:cs="Arial"/>
          <w:sz w:val="28"/>
          <w:szCs w:val="28"/>
          <w:lang w:val="az-Latn-AZ"/>
        </w:rPr>
        <w:t xml:space="preserve">the </w:t>
      </w:r>
      <w:r w:rsidRPr="00BF5255">
        <w:rPr>
          <w:rFonts w:ascii="Arial" w:hAnsi="Arial" w:cs="Arial"/>
          <w:sz w:val="28"/>
          <w:szCs w:val="28"/>
          <w:lang w:val="az-Latn-AZ"/>
        </w:rPr>
        <w:t>energy strategy</w:t>
      </w:r>
      <w:r w:rsidR="005B464C" w:rsidRPr="00BF5255">
        <w:rPr>
          <w:rFonts w:ascii="Arial" w:hAnsi="Arial" w:cs="Arial"/>
          <w:sz w:val="28"/>
          <w:szCs w:val="28"/>
          <w:lang w:val="az-Latn-AZ"/>
        </w:rPr>
        <w:t xml:space="preserve"> of Türkiye</w:t>
      </w:r>
      <w:r w:rsidRPr="00BF5255">
        <w:rPr>
          <w:rFonts w:ascii="Arial" w:hAnsi="Arial" w:cs="Arial"/>
          <w:sz w:val="28"/>
          <w:szCs w:val="28"/>
          <w:lang w:val="az-Latn-AZ"/>
        </w:rPr>
        <w:t xml:space="preserve"> is to maximize the use of the country’s vast renewable energy potential and increase electricity generation from renewable sources. For this purpose, regulatory arrangements have been implemented to promote green energy investments, including the Renewable Energy Resource Support Mechanism (YEKDEM), Renewable Energy Resource Areas (YEKA), and legislation for unlicensed electricity generation.</w:t>
      </w:r>
    </w:p>
    <w:p w14:paraId="0FEDA35C" w14:textId="0305589A"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In 2005, 33% of </w:t>
      </w:r>
      <w:r w:rsidR="00F82D59" w:rsidRPr="00BF5255">
        <w:rPr>
          <w:rFonts w:ascii="Arial" w:hAnsi="Arial" w:cs="Arial"/>
          <w:sz w:val="28"/>
          <w:szCs w:val="28"/>
          <w:lang w:val="az-Latn-AZ"/>
        </w:rPr>
        <w:t>Türkiye</w:t>
      </w:r>
      <w:r w:rsidR="00F82D59" w:rsidRPr="00BF5255">
        <w:rPr>
          <w:rFonts w:ascii="Arial" w:hAnsi="Arial" w:cs="Arial"/>
          <w:sz w:val="28"/>
          <w:szCs w:val="28"/>
        </w:rPr>
        <w:t>’s</w:t>
      </w:r>
      <w:r w:rsidRPr="00BF5255">
        <w:rPr>
          <w:rFonts w:ascii="Arial" w:hAnsi="Arial" w:cs="Arial"/>
          <w:sz w:val="28"/>
          <w:szCs w:val="28"/>
          <w:lang w:val="az-Latn-AZ"/>
        </w:rPr>
        <w:t xml:space="preserve"> installed electricity capacity and in 2015, 43% were based on renewable sources; as of </w:t>
      </w:r>
      <w:r w:rsidR="00F82D59" w:rsidRPr="00BF5255">
        <w:rPr>
          <w:rFonts w:ascii="Arial" w:hAnsi="Arial" w:cs="Arial"/>
          <w:sz w:val="28"/>
          <w:szCs w:val="28"/>
          <w:lang w:val="az-Latn-AZ"/>
        </w:rPr>
        <w:t xml:space="preserve">the end of </w:t>
      </w:r>
      <w:r w:rsidRPr="00BF5255">
        <w:rPr>
          <w:rFonts w:ascii="Arial" w:hAnsi="Arial" w:cs="Arial"/>
          <w:sz w:val="28"/>
          <w:szCs w:val="28"/>
          <w:lang w:val="az-Latn-AZ"/>
        </w:rPr>
        <w:t xml:space="preserve">2025, </w:t>
      </w:r>
      <w:r w:rsidR="00F82D59" w:rsidRPr="00BF5255">
        <w:rPr>
          <w:rFonts w:ascii="Arial" w:hAnsi="Arial" w:cs="Arial"/>
          <w:sz w:val="28"/>
          <w:szCs w:val="28"/>
          <w:lang w:val="az-Latn-AZ"/>
        </w:rPr>
        <w:t xml:space="preserve">Türkiye’s </w:t>
      </w:r>
      <w:r w:rsidRPr="00BF5255">
        <w:rPr>
          <w:rFonts w:ascii="Arial" w:hAnsi="Arial" w:cs="Arial"/>
          <w:sz w:val="28"/>
          <w:szCs w:val="28"/>
          <w:lang w:val="az-Latn-AZ"/>
        </w:rPr>
        <w:t>total installed capacity has</w:t>
      </w:r>
      <w:r w:rsidR="00F82D59" w:rsidRPr="00BF5255">
        <w:rPr>
          <w:rFonts w:ascii="Arial" w:hAnsi="Arial" w:cs="Arial"/>
          <w:sz w:val="28"/>
          <w:szCs w:val="28"/>
          <w:lang w:val="az-Latn-AZ"/>
        </w:rPr>
        <w:t xml:space="preserve"> excedded</w:t>
      </w:r>
      <w:r w:rsidRPr="00BF5255">
        <w:rPr>
          <w:rFonts w:ascii="Arial" w:hAnsi="Arial" w:cs="Arial"/>
          <w:sz w:val="28"/>
          <w:szCs w:val="28"/>
          <w:lang w:val="az-Latn-AZ"/>
        </w:rPr>
        <w:t xml:space="preserve"> </w:t>
      </w:r>
      <w:r w:rsidR="00F82D59" w:rsidRPr="00BF5255">
        <w:rPr>
          <w:rFonts w:ascii="Arial" w:hAnsi="Arial" w:cs="Arial"/>
          <w:sz w:val="28"/>
          <w:szCs w:val="28"/>
          <w:lang w:val="az-Latn-AZ"/>
        </w:rPr>
        <w:t xml:space="preserve">122 </w:t>
      </w:r>
      <w:r w:rsidRPr="00BF5255">
        <w:rPr>
          <w:rFonts w:ascii="Arial" w:hAnsi="Arial" w:cs="Arial"/>
          <w:sz w:val="28"/>
          <w:szCs w:val="28"/>
          <w:lang w:val="az-Latn-AZ"/>
        </w:rPr>
        <w:t xml:space="preserve">GW, while renewable energy installed capacity reached  </w:t>
      </w:r>
      <w:r w:rsidR="00F82D59" w:rsidRPr="00BF5255">
        <w:rPr>
          <w:rFonts w:ascii="Arial" w:hAnsi="Arial" w:cs="Arial"/>
          <w:sz w:val="28"/>
          <w:szCs w:val="28"/>
          <w:lang w:val="az-Latn-AZ"/>
        </w:rPr>
        <w:t xml:space="preserve">76.3 </w:t>
      </w:r>
      <w:r w:rsidRPr="00BF5255">
        <w:rPr>
          <w:rFonts w:ascii="Arial" w:hAnsi="Arial" w:cs="Arial"/>
          <w:sz w:val="28"/>
          <w:szCs w:val="28"/>
          <w:lang w:val="az-Latn-AZ"/>
        </w:rPr>
        <w:t xml:space="preserve">GW. This corresponds to </w:t>
      </w:r>
      <w:r w:rsidR="00F82D59" w:rsidRPr="00BF5255">
        <w:rPr>
          <w:rFonts w:ascii="Arial" w:hAnsi="Arial" w:cs="Arial"/>
          <w:sz w:val="28"/>
          <w:szCs w:val="28"/>
          <w:lang w:val="az-Latn-AZ"/>
        </w:rPr>
        <w:t>62% of</w:t>
      </w:r>
      <w:r w:rsidRPr="00BF5255">
        <w:rPr>
          <w:rFonts w:ascii="Arial" w:hAnsi="Arial" w:cs="Arial"/>
          <w:sz w:val="28"/>
          <w:szCs w:val="28"/>
          <w:lang w:val="az-Latn-AZ"/>
        </w:rPr>
        <w:t xml:space="preserve"> total electricity capacity.</w:t>
      </w:r>
      <w:r w:rsidR="00F82D59" w:rsidRPr="00BF5255">
        <w:rPr>
          <w:rFonts w:ascii="Arial" w:hAnsi="Arial" w:cs="Arial"/>
          <w:sz w:val="28"/>
          <w:szCs w:val="28"/>
          <w:lang w:val="az-Latn-AZ"/>
        </w:rPr>
        <w:t xml:space="preserve"> </w:t>
      </w:r>
    </w:p>
    <w:p w14:paraId="58875946" w14:textId="19DBE28C"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According to data from the International Renewable Energy Agency (IRENA), as of the end of</w:t>
      </w:r>
      <w:r w:rsidR="00F82D59" w:rsidRPr="00BF5255">
        <w:rPr>
          <w:rFonts w:ascii="Arial" w:hAnsi="Arial" w:cs="Arial"/>
          <w:sz w:val="28"/>
          <w:szCs w:val="28"/>
          <w:lang w:val="az-Latn-AZ"/>
        </w:rPr>
        <w:t xml:space="preserve"> 2025</w:t>
      </w:r>
      <w:r w:rsidRPr="00BF5255">
        <w:rPr>
          <w:rFonts w:ascii="Arial" w:hAnsi="Arial" w:cs="Arial"/>
          <w:sz w:val="28"/>
          <w:szCs w:val="28"/>
          <w:lang w:val="az-Latn-AZ"/>
        </w:rPr>
        <w:t xml:space="preserve">, </w:t>
      </w:r>
      <w:r w:rsidR="005B464C" w:rsidRPr="00BF5255">
        <w:rPr>
          <w:rFonts w:ascii="Arial" w:hAnsi="Arial" w:cs="Arial"/>
          <w:sz w:val="28"/>
          <w:szCs w:val="28"/>
          <w:lang w:val="az-Latn-AZ"/>
        </w:rPr>
        <w:t>Türkiye</w:t>
      </w:r>
      <w:r w:rsidRPr="00BF5255">
        <w:rPr>
          <w:rFonts w:ascii="Arial" w:hAnsi="Arial" w:cs="Arial"/>
          <w:sz w:val="28"/>
          <w:szCs w:val="28"/>
          <w:lang w:val="az-Latn-AZ"/>
        </w:rPr>
        <w:t xml:space="preserve"> ranks 5th in Europe and 11th globally in total renewable energy installed capacity.</w:t>
      </w:r>
      <w:r w:rsidR="005B464C" w:rsidRPr="00BF5255">
        <w:rPr>
          <w:rFonts w:ascii="Arial" w:hAnsi="Arial" w:cs="Arial"/>
          <w:sz w:val="28"/>
          <w:szCs w:val="28"/>
          <w:lang w:val="az-Latn-AZ"/>
        </w:rPr>
        <w:t xml:space="preserve"> </w:t>
      </w:r>
      <w:r w:rsidRPr="00BF5255">
        <w:rPr>
          <w:rFonts w:ascii="Arial" w:hAnsi="Arial" w:cs="Arial"/>
          <w:sz w:val="28"/>
          <w:szCs w:val="28"/>
          <w:lang w:val="az-Latn-AZ"/>
        </w:rPr>
        <w:t xml:space="preserve">By the end of </w:t>
      </w:r>
      <w:r w:rsidR="00F82D59" w:rsidRPr="00BF5255">
        <w:rPr>
          <w:rFonts w:ascii="Arial" w:hAnsi="Arial" w:cs="Arial"/>
          <w:sz w:val="28"/>
          <w:szCs w:val="28"/>
          <w:lang w:val="az-Latn-AZ"/>
        </w:rPr>
        <w:t xml:space="preserve"> 2025</w:t>
      </w:r>
      <w:r w:rsidRPr="00BF5255">
        <w:rPr>
          <w:rFonts w:ascii="Arial" w:hAnsi="Arial" w:cs="Arial"/>
          <w:sz w:val="28"/>
          <w:szCs w:val="28"/>
          <w:lang w:val="az-Latn-AZ"/>
        </w:rPr>
        <w:t xml:space="preserve">, the share of electricity generated from renewable sources in total production reached </w:t>
      </w:r>
      <w:r w:rsidR="00F82D59" w:rsidRPr="00BF5255">
        <w:rPr>
          <w:rFonts w:ascii="Arial" w:hAnsi="Arial" w:cs="Arial"/>
          <w:sz w:val="28"/>
          <w:szCs w:val="28"/>
          <w:lang w:val="az-Latn-AZ"/>
        </w:rPr>
        <w:t xml:space="preserve">43.3 </w:t>
      </w:r>
      <w:r w:rsidRPr="00BF5255">
        <w:rPr>
          <w:rFonts w:ascii="Arial" w:hAnsi="Arial" w:cs="Arial"/>
          <w:sz w:val="28"/>
          <w:szCs w:val="28"/>
          <w:lang w:val="az-Latn-AZ"/>
        </w:rPr>
        <w:t>%.</w:t>
      </w:r>
    </w:p>
    <w:p w14:paraId="0C48D6E3" w14:textId="621F5AF8"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The Ministry of Energy of the Republic of </w:t>
      </w:r>
      <w:r w:rsidR="005B464C" w:rsidRPr="00BF5255">
        <w:rPr>
          <w:rFonts w:ascii="Arial" w:hAnsi="Arial" w:cs="Arial"/>
          <w:sz w:val="28"/>
          <w:szCs w:val="28"/>
          <w:lang w:val="az-Latn-AZ"/>
        </w:rPr>
        <w:t xml:space="preserve">Türkiye </w:t>
      </w:r>
      <w:r w:rsidRPr="00BF5255">
        <w:rPr>
          <w:rFonts w:ascii="Arial" w:hAnsi="Arial" w:cs="Arial"/>
          <w:sz w:val="28"/>
          <w:szCs w:val="28"/>
          <w:lang w:val="az-Latn-AZ"/>
        </w:rPr>
        <w:t xml:space="preserve">published the long-term </w:t>
      </w:r>
      <w:r w:rsidR="005B464C" w:rsidRPr="00BF5255">
        <w:rPr>
          <w:rFonts w:ascii="Arial" w:hAnsi="Arial" w:cs="Arial"/>
          <w:sz w:val="28"/>
          <w:szCs w:val="28"/>
          <w:lang w:val="az-Latn-AZ"/>
        </w:rPr>
        <w:t>Türkiye</w:t>
      </w:r>
      <w:r w:rsidRPr="00BF5255">
        <w:rPr>
          <w:rFonts w:ascii="Arial" w:hAnsi="Arial" w:cs="Arial"/>
          <w:sz w:val="28"/>
          <w:szCs w:val="28"/>
          <w:lang w:val="az-Latn-AZ"/>
        </w:rPr>
        <w:t xml:space="preserve"> National Energy Plan covering 2020-2035 at the end of 2022, based on the 2053 </w:t>
      </w:r>
      <w:r w:rsidR="00A919EA" w:rsidRPr="00BF5255">
        <w:rPr>
          <w:rFonts w:ascii="Arial" w:hAnsi="Arial" w:cs="Arial"/>
          <w:sz w:val="28"/>
          <w:szCs w:val="28"/>
          <w:lang w:val="az-Latn-AZ"/>
        </w:rPr>
        <w:t>N</w:t>
      </w:r>
      <w:r w:rsidRPr="00BF5255">
        <w:rPr>
          <w:rFonts w:ascii="Arial" w:hAnsi="Arial" w:cs="Arial"/>
          <w:sz w:val="28"/>
          <w:szCs w:val="28"/>
          <w:lang w:val="az-Latn-AZ"/>
        </w:rPr>
        <w:t>et-</w:t>
      </w:r>
      <w:r w:rsidR="00A919EA" w:rsidRPr="00BF5255">
        <w:rPr>
          <w:rFonts w:ascii="Arial" w:hAnsi="Arial" w:cs="Arial"/>
          <w:sz w:val="28"/>
          <w:szCs w:val="28"/>
          <w:lang w:val="az-Latn-AZ"/>
        </w:rPr>
        <w:t>Z</w:t>
      </w:r>
      <w:r w:rsidRPr="00BF5255">
        <w:rPr>
          <w:rFonts w:ascii="Arial" w:hAnsi="Arial" w:cs="Arial"/>
          <w:sz w:val="28"/>
          <w:szCs w:val="28"/>
          <w:lang w:val="az-Latn-AZ"/>
        </w:rPr>
        <w:t xml:space="preserve">ero </w:t>
      </w:r>
      <w:r w:rsidR="00A919EA" w:rsidRPr="00BF5255">
        <w:rPr>
          <w:rFonts w:ascii="Arial" w:hAnsi="Arial" w:cs="Arial"/>
          <w:sz w:val="28"/>
          <w:szCs w:val="28"/>
          <w:lang w:val="az-Latn-AZ"/>
        </w:rPr>
        <w:t>T</w:t>
      </w:r>
      <w:r w:rsidRPr="00BF5255">
        <w:rPr>
          <w:rFonts w:ascii="Arial" w:hAnsi="Arial" w:cs="Arial"/>
          <w:sz w:val="28"/>
          <w:szCs w:val="28"/>
          <w:lang w:val="az-Latn-AZ"/>
        </w:rPr>
        <w:t>arget. The report considered key indicators such as population, economic growth, and fuel prices, and analyzed long-term energy demand in the industry, residential, agriculture, transport, an</w:t>
      </w:r>
      <w:r w:rsidR="005B464C" w:rsidRPr="00BF5255">
        <w:rPr>
          <w:rFonts w:ascii="Arial" w:hAnsi="Arial" w:cs="Arial"/>
          <w:sz w:val="28"/>
          <w:szCs w:val="28"/>
          <w:lang w:val="az-Latn-AZ"/>
        </w:rPr>
        <w:t>d services sectors. Accordingly p</w:t>
      </w:r>
      <w:r w:rsidRPr="00BF5255">
        <w:rPr>
          <w:rFonts w:ascii="Arial" w:hAnsi="Arial" w:cs="Arial"/>
          <w:sz w:val="28"/>
          <w:szCs w:val="28"/>
          <w:lang w:val="az-Latn-AZ"/>
        </w:rPr>
        <w:t>roject</w:t>
      </w:r>
      <w:r w:rsidR="005B464C" w:rsidRPr="00BF5255">
        <w:rPr>
          <w:rFonts w:ascii="Arial" w:hAnsi="Arial" w:cs="Arial"/>
          <w:sz w:val="28"/>
          <w:szCs w:val="28"/>
          <w:lang w:val="az-Latn-AZ"/>
        </w:rPr>
        <w:t xml:space="preserve">ed electricity demand for 2035 is </w:t>
      </w:r>
      <w:r w:rsidRPr="00BF5255">
        <w:rPr>
          <w:rFonts w:ascii="Arial" w:hAnsi="Arial" w:cs="Arial"/>
          <w:sz w:val="28"/>
          <w:szCs w:val="28"/>
          <w:lang w:val="az-Latn-AZ"/>
        </w:rPr>
        <w:t>510.5 TWh</w:t>
      </w:r>
      <w:r w:rsidR="005B464C" w:rsidRPr="00BF5255">
        <w:rPr>
          <w:rFonts w:ascii="Arial" w:hAnsi="Arial" w:cs="Arial"/>
          <w:sz w:val="28"/>
          <w:szCs w:val="28"/>
          <w:lang w:val="az-Latn-AZ"/>
        </w:rPr>
        <w:t xml:space="preserve"> and </w:t>
      </w:r>
      <w:r w:rsidRPr="00BF5255">
        <w:rPr>
          <w:rFonts w:ascii="Arial" w:hAnsi="Arial" w:cs="Arial"/>
          <w:sz w:val="28"/>
          <w:szCs w:val="28"/>
          <w:lang w:val="az-Latn-AZ"/>
        </w:rPr>
        <w:t xml:space="preserve">Projected primary energy consumption </w:t>
      </w:r>
      <w:r w:rsidR="005B464C" w:rsidRPr="00BF5255">
        <w:rPr>
          <w:rFonts w:ascii="Arial" w:hAnsi="Arial" w:cs="Arial"/>
          <w:sz w:val="28"/>
          <w:szCs w:val="28"/>
          <w:lang w:val="az-Latn-AZ"/>
        </w:rPr>
        <w:t xml:space="preserve">for 2035 is </w:t>
      </w:r>
      <w:r w:rsidRPr="00BF5255">
        <w:rPr>
          <w:rFonts w:ascii="Arial" w:hAnsi="Arial" w:cs="Arial"/>
          <w:sz w:val="28"/>
          <w:szCs w:val="28"/>
          <w:lang w:val="az-Latn-AZ"/>
        </w:rPr>
        <w:t>205.3 million TOE</w:t>
      </w:r>
      <w:r w:rsidR="005B464C" w:rsidRPr="00BF5255">
        <w:rPr>
          <w:rFonts w:ascii="Arial" w:hAnsi="Arial" w:cs="Arial"/>
          <w:sz w:val="28"/>
          <w:szCs w:val="28"/>
          <w:lang w:val="az-Latn-AZ"/>
        </w:rPr>
        <w:t>.</w:t>
      </w:r>
    </w:p>
    <w:p w14:paraId="61687E2E"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In line with these targets, the 2035 Roadmap for Renewable Energy was published in October 2024. Accordingly:</w:t>
      </w:r>
    </w:p>
    <w:p w14:paraId="00BDA200" w14:textId="362A00B4" w:rsidR="00185A1E" w:rsidRPr="00BF5255" w:rsidRDefault="00185A1E" w:rsidP="00802C0D">
      <w:pPr>
        <w:spacing w:after="0"/>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 xml:space="preserve">The total solar and wind installed capacity of </w:t>
      </w:r>
      <w:r w:rsidR="00F82D59" w:rsidRPr="00BF5255">
        <w:rPr>
          <w:rFonts w:ascii="Arial" w:hAnsi="Arial" w:cs="Arial"/>
          <w:sz w:val="28"/>
          <w:szCs w:val="28"/>
          <w:lang w:val="az-Latn-AZ"/>
        </w:rPr>
        <w:t xml:space="preserve">40 </w:t>
      </w:r>
      <w:r w:rsidRPr="00BF5255">
        <w:rPr>
          <w:rFonts w:ascii="Arial" w:hAnsi="Arial" w:cs="Arial"/>
          <w:sz w:val="28"/>
          <w:szCs w:val="28"/>
          <w:lang w:val="az-Latn-AZ"/>
        </w:rPr>
        <w:t xml:space="preserve">GW at the end of </w:t>
      </w:r>
      <w:r w:rsidR="00F82D59" w:rsidRPr="00BF5255">
        <w:rPr>
          <w:rFonts w:ascii="Arial" w:hAnsi="Arial" w:cs="Arial"/>
          <w:sz w:val="28"/>
          <w:szCs w:val="28"/>
          <w:lang w:val="az-Latn-AZ"/>
        </w:rPr>
        <w:t xml:space="preserve">2025 </w:t>
      </w:r>
      <w:r w:rsidRPr="00BF5255">
        <w:rPr>
          <w:rFonts w:ascii="Arial" w:hAnsi="Arial" w:cs="Arial"/>
          <w:sz w:val="28"/>
          <w:szCs w:val="28"/>
          <w:lang w:val="az-Latn-AZ"/>
        </w:rPr>
        <w:t>is planned to increase to 120 GW by 2035.</w:t>
      </w:r>
    </w:p>
    <w:p w14:paraId="05FC9413" w14:textId="77777777" w:rsidR="00185A1E" w:rsidRPr="00BF5255" w:rsidRDefault="00185A1E" w:rsidP="00802C0D">
      <w:pPr>
        <w:spacing w:after="0"/>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An investment of USD 80 billion is planned.</w:t>
      </w:r>
    </w:p>
    <w:p w14:paraId="45C9479D" w14:textId="77777777" w:rsidR="00185A1E" w:rsidRPr="00BF5255" w:rsidRDefault="00185A1E" w:rsidP="00802C0D">
      <w:pPr>
        <w:spacing w:after="0"/>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To integrate the targeted wind and solar installed capacity into the system, it is planned to construct 14,700 km of HVDC lines with a 40 GW capacity, 15,000 km of additional AC lines, 40 converter centers, increase export capacity to 6,750 MW, and import capacity to 6,600 MW.</w:t>
      </w:r>
    </w:p>
    <w:p w14:paraId="55CD2589" w14:textId="77777777" w:rsidR="00185A1E" w:rsidRPr="00BF5255" w:rsidRDefault="00185A1E" w:rsidP="00802C0D">
      <w:pPr>
        <w:spacing w:after="0"/>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The green transmission infrastructure investment cost is estimated at USD 28 billion.</w:t>
      </w:r>
    </w:p>
    <w:p w14:paraId="5C4EEB54" w14:textId="55A427BB" w:rsidR="00185A1E" w:rsidRPr="00BF5255" w:rsidRDefault="00185A1E" w:rsidP="00802C0D">
      <w:pPr>
        <w:spacing w:after="0"/>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Additionally, offshore wind capacity is targeted to reach 5 GW by 2035.</w:t>
      </w:r>
    </w:p>
    <w:p w14:paraId="4E02F57F" w14:textId="3D03216A"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Since 2017, a total of 7,8</w:t>
      </w:r>
      <w:r w:rsidR="00F82D59" w:rsidRPr="00BF5255">
        <w:rPr>
          <w:rFonts w:ascii="Arial" w:hAnsi="Arial" w:cs="Arial"/>
          <w:sz w:val="28"/>
          <w:szCs w:val="28"/>
          <w:lang w:val="az-Latn-AZ"/>
        </w:rPr>
        <w:t>20</w:t>
      </w:r>
      <w:r w:rsidRPr="00BF5255">
        <w:rPr>
          <w:rFonts w:ascii="Arial" w:hAnsi="Arial" w:cs="Arial"/>
          <w:sz w:val="28"/>
          <w:szCs w:val="28"/>
          <w:lang w:val="az-Latn-AZ"/>
        </w:rPr>
        <w:t xml:space="preserve"> MW of YEKA competitions (</w:t>
      </w:r>
      <w:r w:rsidR="00F82D59" w:rsidRPr="00BF5255">
        <w:rPr>
          <w:rFonts w:ascii="Arial" w:hAnsi="Arial" w:cs="Arial"/>
          <w:sz w:val="28"/>
          <w:szCs w:val="28"/>
          <w:lang w:val="az-Latn-AZ"/>
        </w:rPr>
        <w:t>4,000</w:t>
      </w:r>
      <w:r w:rsidRPr="00BF5255">
        <w:rPr>
          <w:rFonts w:ascii="Arial" w:hAnsi="Arial" w:cs="Arial"/>
          <w:sz w:val="28"/>
          <w:szCs w:val="28"/>
          <w:lang w:val="az-Latn-AZ"/>
        </w:rPr>
        <w:t xml:space="preserve"> MW wind, 3,8</w:t>
      </w:r>
      <w:r w:rsidR="00F82D59" w:rsidRPr="00BF5255">
        <w:rPr>
          <w:rFonts w:ascii="Arial" w:hAnsi="Arial" w:cs="Arial"/>
          <w:sz w:val="28"/>
          <w:szCs w:val="28"/>
          <w:lang w:val="az-Latn-AZ"/>
        </w:rPr>
        <w:t>2</w:t>
      </w:r>
      <w:r w:rsidRPr="00BF5255">
        <w:rPr>
          <w:rFonts w:ascii="Arial" w:hAnsi="Arial" w:cs="Arial"/>
          <w:sz w:val="28"/>
          <w:szCs w:val="28"/>
          <w:lang w:val="az-Latn-AZ"/>
        </w:rPr>
        <w:t>0 MW solar) have been organized.</w:t>
      </w:r>
    </w:p>
    <w:p w14:paraId="6290DCE8"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January 27, 2025: A total of 1.2 GW onshore wind YEKA competition for 5 regions was held, with an investment target of USD 1.2 billion.</w:t>
      </w:r>
    </w:p>
    <w:p w14:paraId="6A778CF7"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February 4, 2025: A total of 800 MW solar YEKA competition for 6 regions was held, with an investment target of USD 500 million.</w:t>
      </w:r>
    </w:p>
    <w:p w14:paraId="5FB85E38" w14:textId="6E913839" w:rsidR="00B64EEB"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r>
      <w:r w:rsidR="00B64EEB" w:rsidRPr="00BF5255">
        <w:rPr>
          <w:rFonts w:ascii="Arial" w:hAnsi="Arial" w:cs="Arial"/>
          <w:sz w:val="28"/>
          <w:szCs w:val="28"/>
          <w:lang w:val="az-Latn-AZ"/>
        </w:rPr>
        <w:t>By 2035: At least 2,000 MW of additional YEKA competitions are planned annually.  The latest YEKA competitions (1,150 MW onshore wind and 650 MW solar PV) were held in the last quarter of 2025.</w:t>
      </w:r>
    </w:p>
    <w:p w14:paraId="36B58626" w14:textId="2D11186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Energy production and consumption processes are among the primary sources of environmental pollution and climate change. Traditional fossil fuel-based production models exacerbate environmental impacts, especially air pollution and greenhouse gas emissions, and also negatively affect water resources, soil quality, and biodiversity. This situation necessitates maintaining a delicate balance between energy supply security and environmental sustainability, which has become increasingly critical with rising energy demand, industrialization, and urbanization, particularly in the geography of the Turkic States.</w:t>
      </w:r>
    </w:p>
    <w:p w14:paraId="6CE83B24" w14:textId="65B1BF9D"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In this context, the importance of low-carbon energy production methods is increasing; nuclear energy, with high energy density and near-zero carbon emissions, can directly contribute to sustainable development goals. </w:t>
      </w:r>
      <w:r w:rsidR="00CF194D" w:rsidRPr="00BF5255">
        <w:rPr>
          <w:rFonts w:ascii="Arial" w:hAnsi="Arial" w:cs="Arial"/>
          <w:sz w:val="28"/>
          <w:szCs w:val="28"/>
          <w:lang w:val="az-Latn-AZ"/>
        </w:rPr>
        <w:t>Türkiye</w:t>
      </w:r>
      <w:r w:rsidRPr="00BF5255">
        <w:rPr>
          <w:rFonts w:ascii="Arial" w:hAnsi="Arial" w:cs="Arial"/>
          <w:sz w:val="28"/>
          <w:szCs w:val="28"/>
          <w:lang w:val="az-Latn-AZ"/>
        </w:rPr>
        <w:t xml:space="preserve"> has positioned nuclear energy as one of the key strategic tools in its long-term energy planning in line with the 2053 </w:t>
      </w:r>
      <w:r w:rsidR="00A919EA" w:rsidRPr="00BF5255">
        <w:rPr>
          <w:rFonts w:ascii="Arial" w:hAnsi="Arial" w:cs="Arial"/>
          <w:sz w:val="28"/>
          <w:szCs w:val="28"/>
          <w:lang w:val="az-Latn-AZ"/>
        </w:rPr>
        <w:t>N</w:t>
      </w:r>
      <w:r w:rsidRPr="00BF5255">
        <w:rPr>
          <w:rFonts w:ascii="Arial" w:hAnsi="Arial" w:cs="Arial"/>
          <w:sz w:val="28"/>
          <w:szCs w:val="28"/>
          <w:lang w:val="az-Latn-AZ"/>
        </w:rPr>
        <w:t>et-</w:t>
      </w:r>
      <w:r w:rsidR="00A919EA" w:rsidRPr="00BF5255">
        <w:rPr>
          <w:rFonts w:ascii="Arial" w:hAnsi="Arial" w:cs="Arial"/>
          <w:sz w:val="28"/>
          <w:szCs w:val="28"/>
          <w:lang w:val="az-Latn-AZ"/>
        </w:rPr>
        <w:t>Z</w:t>
      </w:r>
      <w:r w:rsidRPr="00BF5255">
        <w:rPr>
          <w:rFonts w:ascii="Arial" w:hAnsi="Arial" w:cs="Arial"/>
          <w:sz w:val="28"/>
          <w:szCs w:val="28"/>
          <w:lang w:val="az-Latn-AZ"/>
        </w:rPr>
        <w:t xml:space="preserve">ero </w:t>
      </w:r>
      <w:r w:rsidR="00637234" w:rsidRPr="00BF5255">
        <w:rPr>
          <w:rFonts w:ascii="Arial" w:hAnsi="Arial" w:cs="Arial"/>
          <w:sz w:val="28"/>
          <w:szCs w:val="28"/>
          <w:lang w:val="az-Latn-AZ"/>
        </w:rPr>
        <w:t>E</w:t>
      </w:r>
      <w:r w:rsidRPr="00BF5255">
        <w:rPr>
          <w:rFonts w:ascii="Arial" w:hAnsi="Arial" w:cs="Arial"/>
          <w:sz w:val="28"/>
          <w:szCs w:val="28"/>
          <w:lang w:val="az-Latn-AZ"/>
        </w:rPr>
        <w:t xml:space="preserve">missions </w:t>
      </w:r>
      <w:r w:rsidR="00637234" w:rsidRPr="00BF5255">
        <w:rPr>
          <w:rFonts w:ascii="Arial" w:hAnsi="Arial" w:cs="Arial"/>
          <w:sz w:val="28"/>
          <w:szCs w:val="28"/>
          <w:lang w:val="az-Latn-AZ"/>
        </w:rPr>
        <w:t>T</w:t>
      </w:r>
      <w:r w:rsidRPr="00BF5255">
        <w:rPr>
          <w:rFonts w:ascii="Arial" w:hAnsi="Arial" w:cs="Arial"/>
          <w:sz w:val="28"/>
          <w:szCs w:val="28"/>
          <w:lang w:val="az-Latn-AZ"/>
        </w:rPr>
        <w:t>arget.</w:t>
      </w:r>
    </w:p>
    <w:p w14:paraId="2431BE07"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The Akkuyu Nuclear Power Plant (NPP) project, being constructed under an intergovernmental agreement signed with the Russian Federation in 2010, consists of four reactors with a total installed capacity of 4,800 MW.</w:t>
      </w:r>
    </w:p>
    <w:p w14:paraId="64BA479E" w14:textId="4DD7A4DA"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Once completed, Akkuyu NPP is expected to reduce CO2 emissions by 35 million tons annually and prevent the import of 7 billion m³ of natural gas.</w:t>
      </w:r>
    </w:p>
    <w:p w14:paraId="595A6891"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According to the National Energy Plan:</w:t>
      </w:r>
    </w:p>
    <w:p w14:paraId="7C6A594A"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By 2035: The share of nuclear energy in electricity generation is targeted to reach 11.1%</w:t>
      </w:r>
    </w:p>
    <w:p w14:paraId="204CDB4B" w14:textId="6A9101C0"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By 2053: The share is targeted to reach 29.3%</w:t>
      </w:r>
    </w:p>
    <w:p w14:paraId="02252F7E" w14:textId="6F40AE75"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In line with these targets, at least two new NPP projects will be implemented in addition to Akkuyu, and small modular reactor (SMR) technologies will be evaluated.</w:t>
      </w:r>
    </w:p>
    <w:p w14:paraId="5819E1DD" w14:textId="4E363C71"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Nuclear energy projects in </w:t>
      </w:r>
      <w:r w:rsidR="00CF194D" w:rsidRPr="00BF5255">
        <w:rPr>
          <w:rFonts w:ascii="Arial" w:hAnsi="Arial" w:cs="Arial"/>
          <w:sz w:val="28"/>
          <w:szCs w:val="28"/>
          <w:lang w:val="az-Latn-AZ"/>
        </w:rPr>
        <w:t>Türkiye</w:t>
      </w:r>
      <w:r w:rsidRPr="00BF5255">
        <w:rPr>
          <w:rFonts w:ascii="Arial" w:hAnsi="Arial" w:cs="Arial"/>
          <w:sz w:val="28"/>
          <w:szCs w:val="28"/>
          <w:lang w:val="az-Latn-AZ"/>
        </w:rPr>
        <w:t xml:space="preserve"> are carried out not only in terms of energy production but also in accordance with international standards for environmental protection measures. In this framework, EIA processes, continuous environmental monitoring systems, radioactive waste management, water usage, and measures to protect marine ecosystems are strictly applied.</w:t>
      </w:r>
    </w:p>
    <w:p w14:paraId="1BB5A9D6" w14:textId="2823DE9C"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Nuclear energy is a strategic resource that can contribute to environmental sustainability not only at the national level but also regionally. Joint steps in technical cooperation and capacity development among TURKPA member states are o</w:t>
      </w:r>
      <w:r w:rsidR="00CF194D" w:rsidRPr="00BF5255">
        <w:rPr>
          <w:rFonts w:ascii="Arial" w:hAnsi="Arial" w:cs="Arial"/>
          <w:sz w:val="28"/>
          <w:szCs w:val="28"/>
          <w:lang w:val="az-Latn-AZ"/>
        </w:rPr>
        <w:t xml:space="preserve">f great importance. For example, </w:t>
      </w:r>
      <w:r w:rsidRPr="00BF5255">
        <w:rPr>
          <w:rFonts w:ascii="Arial" w:hAnsi="Arial" w:cs="Arial"/>
          <w:sz w:val="28"/>
          <w:szCs w:val="28"/>
          <w:lang w:val="az-Latn-AZ"/>
        </w:rPr>
        <w:t>Kazakhstan has integrated nuclear energy into its long-term plans to achieve carbon-neutral targets.</w:t>
      </w:r>
      <w:r w:rsidR="00CF194D" w:rsidRPr="00BF5255">
        <w:rPr>
          <w:rFonts w:ascii="Arial" w:hAnsi="Arial" w:cs="Arial"/>
          <w:sz w:val="28"/>
          <w:szCs w:val="28"/>
          <w:lang w:val="az-Latn-AZ"/>
        </w:rPr>
        <w:t xml:space="preserve"> </w:t>
      </w:r>
      <w:r w:rsidRPr="00BF5255">
        <w:rPr>
          <w:rFonts w:ascii="Arial" w:hAnsi="Arial" w:cs="Arial"/>
          <w:sz w:val="28"/>
          <w:szCs w:val="28"/>
          <w:lang w:val="az-Latn-AZ"/>
        </w:rPr>
        <w:t>Low-carbon energy transition discussions have also gained priority in countries such as Azerbaijan, Uzbekistan, and Kyrgyzstan.</w:t>
      </w:r>
    </w:p>
    <w:p w14:paraId="3EBC7E25" w14:textId="6D68BE4F"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This common interest enables experience sharing in aligning environmental and technical standards, waste management, and environmental monitoring in nuclear energy projects. Pro</w:t>
      </w:r>
      <w:r w:rsidR="00CF194D" w:rsidRPr="00BF5255">
        <w:rPr>
          <w:rFonts w:ascii="Arial" w:hAnsi="Arial" w:cs="Arial"/>
          <w:sz w:val="28"/>
          <w:szCs w:val="28"/>
          <w:lang w:val="az-Latn-AZ"/>
        </w:rPr>
        <w:t>posed cooperation areas include, s</w:t>
      </w:r>
      <w:r w:rsidRPr="00BF5255">
        <w:rPr>
          <w:rFonts w:ascii="Arial" w:hAnsi="Arial" w:cs="Arial"/>
          <w:sz w:val="28"/>
          <w:szCs w:val="28"/>
          <w:lang w:val="az-Latn-AZ"/>
        </w:rPr>
        <w:t>haring best practices in environmental inspection and licensing processes,</w:t>
      </w:r>
      <w:r w:rsidR="00CF194D" w:rsidRPr="00BF5255">
        <w:rPr>
          <w:rFonts w:ascii="Arial" w:hAnsi="Arial" w:cs="Arial"/>
          <w:sz w:val="28"/>
          <w:szCs w:val="28"/>
          <w:lang w:val="az-Latn-AZ"/>
        </w:rPr>
        <w:t xml:space="preserve"> d</w:t>
      </w:r>
      <w:r w:rsidRPr="00BF5255">
        <w:rPr>
          <w:rFonts w:ascii="Arial" w:hAnsi="Arial" w:cs="Arial"/>
          <w:sz w:val="28"/>
          <w:szCs w:val="28"/>
          <w:lang w:val="az-Latn-AZ"/>
        </w:rPr>
        <w:t>eveloping joint R&amp;D and training programs,</w:t>
      </w:r>
      <w:r w:rsidR="00CF194D" w:rsidRPr="00BF5255">
        <w:rPr>
          <w:rFonts w:ascii="Arial" w:hAnsi="Arial" w:cs="Arial"/>
          <w:sz w:val="28"/>
          <w:szCs w:val="28"/>
          <w:lang w:val="az-Latn-AZ"/>
        </w:rPr>
        <w:t xml:space="preserve"> e</w:t>
      </w:r>
      <w:r w:rsidRPr="00BF5255">
        <w:rPr>
          <w:rFonts w:ascii="Arial" w:hAnsi="Arial" w:cs="Arial"/>
          <w:sz w:val="28"/>
          <w:szCs w:val="28"/>
          <w:lang w:val="az-Latn-AZ"/>
        </w:rPr>
        <w:t>stablishing early warning and cross-border coordination systems for environmental emergencies,</w:t>
      </w:r>
      <w:r w:rsidR="00CF194D" w:rsidRPr="00BF5255">
        <w:rPr>
          <w:rFonts w:ascii="Arial" w:hAnsi="Arial" w:cs="Arial"/>
          <w:sz w:val="28"/>
          <w:szCs w:val="28"/>
          <w:lang w:val="az-Latn-AZ"/>
        </w:rPr>
        <w:t xml:space="preserve"> m</w:t>
      </w:r>
      <w:r w:rsidRPr="00BF5255">
        <w:rPr>
          <w:rFonts w:ascii="Arial" w:hAnsi="Arial" w:cs="Arial"/>
          <w:sz w:val="28"/>
          <w:szCs w:val="28"/>
          <w:lang w:val="az-Latn-AZ"/>
        </w:rPr>
        <w:t>utual alignment of taxonomy systems where nuclear energy is classified as sustainable activity.</w:t>
      </w:r>
    </w:p>
    <w:p w14:paraId="7C85E147" w14:textId="7E346126" w:rsidR="00185A1E" w:rsidRPr="00BF5255" w:rsidRDefault="00CF194D" w:rsidP="00802C0D">
      <w:pPr>
        <w:ind w:right="-279"/>
        <w:jc w:val="both"/>
        <w:rPr>
          <w:rFonts w:ascii="Arial" w:hAnsi="Arial" w:cs="Arial"/>
          <w:sz w:val="28"/>
          <w:szCs w:val="28"/>
          <w:lang w:val="az-Latn-AZ"/>
        </w:rPr>
      </w:pPr>
      <w:r w:rsidRPr="00BF5255">
        <w:rPr>
          <w:rFonts w:ascii="Arial" w:hAnsi="Arial" w:cs="Arial"/>
          <w:sz w:val="28"/>
          <w:szCs w:val="28"/>
          <w:lang w:val="az-Latn-AZ"/>
        </w:rPr>
        <w:t>Türkiye</w:t>
      </w:r>
      <w:r w:rsidR="00185A1E" w:rsidRPr="00BF5255">
        <w:rPr>
          <w:rFonts w:ascii="Arial" w:hAnsi="Arial" w:cs="Arial"/>
          <w:sz w:val="28"/>
          <w:szCs w:val="28"/>
          <w:lang w:val="az-Latn-AZ"/>
        </w:rPr>
        <w:t xml:space="preserve"> reaffirmed the key role of nuclear energy in emission reduction by signing the “Triple Nuclear Energy Declaration” at COP29 in Baku.</w:t>
      </w:r>
      <w:r w:rsidRPr="00BF5255">
        <w:rPr>
          <w:rFonts w:ascii="Arial" w:hAnsi="Arial" w:cs="Arial"/>
          <w:sz w:val="28"/>
          <w:szCs w:val="28"/>
          <w:lang w:val="az-Latn-AZ"/>
        </w:rPr>
        <w:t xml:space="preserve"> </w:t>
      </w:r>
      <w:r w:rsidR="00185A1E" w:rsidRPr="00BF5255">
        <w:rPr>
          <w:rFonts w:ascii="Arial" w:hAnsi="Arial" w:cs="Arial"/>
          <w:sz w:val="28"/>
          <w:szCs w:val="28"/>
          <w:lang w:val="az-Latn-AZ"/>
        </w:rPr>
        <w:t xml:space="preserve">Under the </w:t>
      </w:r>
      <w:r w:rsidRPr="00BF5255">
        <w:rPr>
          <w:rFonts w:ascii="Arial" w:hAnsi="Arial" w:cs="Arial"/>
          <w:sz w:val="28"/>
          <w:szCs w:val="28"/>
          <w:lang w:val="az-Latn-AZ"/>
        </w:rPr>
        <w:t>Türkiye</w:t>
      </w:r>
      <w:r w:rsidR="00185A1E" w:rsidRPr="00BF5255">
        <w:rPr>
          <w:rFonts w:ascii="Arial" w:hAnsi="Arial" w:cs="Arial"/>
          <w:sz w:val="28"/>
          <w:szCs w:val="28"/>
          <w:lang w:val="az-Latn-AZ"/>
        </w:rPr>
        <w:t xml:space="preserve"> Hydrogen Technologies Strategy and Roadmap published by The Ministry of Energy of the Republic of </w:t>
      </w:r>
      <w:r w:rsidRPr="00BF5255">
        <w:rPr>
          <w:rFonts w:ascii="Arial" w:hAnsi="Arial" w:cs="Arial"/>
          <w:sz w:val="28"/>
          <w:szCs w:val="28"/>
          <w:lang w:val="az-Latn-AZ"/>
        </w:rPr>
        <w:t>Türkiye e</w:t>
      </w:r>
      <w:r w:rsidR="00185A1E" w:rsidRPr="00BF5255">
        <w:rPr>
          <w:rFonts w:ascii="Arial" w:hAnsi="Arial" w:cs="Arial"/>
          <w:sz w:val="28"/>
          <w:szCs w:val="28"/>
          <w:lang w:val="az-Latn-AZ"/>
        </w:rPr>
        <w:t>lectrolyzer installed capacity is targeted to reach 2 GW by 2030, 5 GW by 2035, and 70 GW by 2053.</w:t>
      </w:r>
      <w:r w:rsidRPr="00BF5255">
        <w:rPr>
          <w:rFonts w:ascii="Arial" w:hAnsi="Arial" w:cs="Arial"/>
          <w:sz w:val="28"/>
          <w:szCs w:val="28"/>
          <w:lang w:val="az-Latn-AZ"/>
        </w:rPr>
        <w:t xml:space="preserve"> </w:t>
      </w:r>
    </w:p>
    <w:p w14:paraId="6EBA5F14" w14:textId="63551210"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Energy efficiency studies began with Law No. 5627 on Energy Efficiency in 2007 and targeted a 20% reduction in energy intensity by 2023 compared to 2011 through the Energy Efficiency Strategy Document (2012-2023).</w:t>
      </w:r>
      <w:r w:rsidR="00CF194D" w:rsidRPr="00BF5255">
        <w:rPr>
          <w:rFonts w:ascii="Arial" w:hAnsi="Arial" w:cs="Arial"/>
          <w:sz w:val="28"/>
          <w:szCs w:val="28"/>
          <w:lang w:val="az-Latn-AZ"/>
        </w:rPr>
        <w:t xml:space="preserve"> </w:t>
      </w:r>
      <w:r w:rsidRPr="00BF5255">
        <w:rPr>
          <w:rFonts w:ascii="Arial" w:hAnsi="Arial" w:cs="Arial"/>
          <w:sz w:val="28"/>
          <w:szCs w:val="28"/>
          <w:lang w:val="az-Latn-AZ"/>
        </w:rPr>
        <w:t>Under the National Energy Efficiency Action Plan (NEEAP) implemented in 2018, USD 8.47 billion was invested, saving 24.6 million TOE, reducing 68.6 million tons of CO2 equivalent emissions, and creating approximately 45,000 green jobs.</w:t>
      </w:r>
      <w:r w:rsidR="00CF194D" w:rsidRPr="00BF5255">
        <w:rPr>
          <w:rFonts w:ascii="Arial" w:hAnsi="Arial" w:cs="Arial"/>
          <w:sz w:val="28"/>
          <w:szCs w:val="28"/>
          <w:lang w:val="az-Latn-AZ"/>
        </w:rPr>
        <w:t xml:space="preserve"> </w:t>
      </w:r>
      <w:r w:rsidRPr="00BF5255">
        <w:rPr>
          <w:rFonts w:ascii="Arial" w:hAnsi="Arial" w:cs="Arial"/>
          <w:sz w:val="28"/>
          <w:szCs w:val="28"/>
          <w:lang w:val="az-Latn-AZ"/>
        </w:rPr>
        <w:t>Pr</w:t>
      </w:r>
      <w:r w:rsidR="00CF194D" w:rsidRPr="00BF5255">
        <w:rPr>
          <w:rFonts w:ascii="Arial" w:hAnsi="Arial" w:cs="Arial"/>
          <w:sz w:val="28"/>
          <w:szCs w:val="28"/>
          <w:lang w:val="az-Latn-AZ"/>
        </w:rPr>
        <w:t xml:space="preserve">imary energy intensity in 2023 is </w:t>
      </w:r>
      <w:r w:rsidRPr="00BF5255">
        <w:rPr>
          <w:rFonts w:ascii="Arial" w:hAnsi="Arial" w:cs="Arial"/>
          <w:sz w:val="28"/>
          <w:szCs w:val="28"/>
          <w:lang w:val="az-Latn-AZ"/>
        </w:rPr>
        <w:t>0.126 TOE/1,000 USD; showing a 34.3% improvement compared to 2000 and 4.5% compared to the previous year.</w:t>
      </w:r>
    </w:p>
    <w:p w14:paraId="7EDE828A"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The II. NEEAP (2024-2030) was prepared on January 8, 2024:</w:t>
      </w:r>
    </w:p>
    <w:p w14:paraId="3942E723"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61 actions and 266 activities were defined across 7 sectors.</w:t>
      </w:r>
    </w:p>
    <w:p w14:paraId="6D0CC41B" w14:textId="1A1FFE46" w:rsidR="0008560D"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By 2030, USD 20.2 billion investment, 37.1 million TOE energy savings, and 100 million tons of CO2 equivalent emission reduction are targeted.</w:t>
      </w:r>
    </w:p>
    <w:p w14:paraId="416F0845" w14:textId="3773A1C3" w:rsidR="00B64EEB" w:rsidRPr="00BF5255" w:rsidRDefault="00B64EEB" w:rsidP="00802C0D">
      <w:pPr>
        <w:ind w:right="-279"/>
        <w:jc w:val="both"/>
        <w:rPr>
          <w:rFonts w:ascii="Arial" w:hAnsi="Arial" w:cs="Arial"/>
          <w:sz w:val="28"/>
          <w:szCs w:val="28"/>
          <w:lang w:val="az-Latn-AZ"/>
        </w:rPr>
      </w:pPr>
      <w:r w:rsidRPr="00BF5255">
        <w:rPr>
          <w:rFonts w:ascii="Arial" w:hAnsi="Arial" w:cs="Arial"/>
          <w:sz w:val="28"/>
          <w:szCs w:val="28"/>
          <w:lang w:val="az-Latn-AZ"/>
        </w:rPr>
        <w:t>According to the impact analysis conducted for the 2024–2025 implementation period, a total of USD 7,608 billion was invested in energy efficiency, resulting in cumulative energy savings of 4,584 million toe and an emission reduction of 14,233 million tons of CO</w:t>
      </w:r>
      <w:r w:rsidRPr="00BF5255">
        <w:rPr>
          <w:rFonts w:ascii="Cambria Math" w:hAnsi="Cambria Math" w:cs="Cambria Math"/>
          <w:sz w:val="28"/>
          <w:szCs w:val="28"/>
          <w:lang w:val="az-Latn-AZ"/>
        </w:rPr>
        <w:t>₂</w:t>
      </w:r>
      <w:r w:rsidRPr="00BF5255">
        <w:rPr>
          <w:rFonts w:ascii="Arial" w:hAnsi="Arial" w:cs="Arial"/>
          <w:sz w:val="28"/>
          <w:szCs w:val="28"/>
          <w:lang w:val="az-Latn-AZ"/>
        </w:rPr>
        <w:t xml:space="preserve"> equivalent. The achievement rate of the energy savings target reached 130%.</w:t>
      </w:r>
    </w:p>
    <w:p w14:paraId="6D39B7D8" w14:textId="6B1B30F2" w:rsidR="00185A1E" w:rsidRPr="00BF5255" w:rsidRDefault="00CF194D" w:rsidP="00802C0D">
      <w:pPr>
        <w:ind w:right="-279"/>
        <w:jc w:val="both"/>
        <w:rPr>
          <w:rFonts w:ascii="Arial" w:hAnsi="Arial" w:cs="Arial"/>
          <w:sz w:val="28"/>
          <w:szCs w:val="28"/>
          <w:lang w:val="az-Latn-AZ"/>
        </w:rPr>
      </w:pPr>
      <w:r w:rsidRPr="00BF5255">
        <w:rPr>
          <w:rFonts w:ascii="Arial" w:hAnsi="Arial" w:cs="Arial"/>
          <w:sz w:val="28"/>
          <w:szCs w:val="28"/>
          <w:lang w:val="az-Latn-AZ"/>
        </w:rPr>
        <w:t>Türkiye</w:t>
      </w:r>
      <w:r w:rsidR="00185A1E" w:rsidRPr="00BF5255">
        <w:rPr>
          <w:rFonts w:ascii="Arial" w:hAnsi="Arial" w:cs="Arial"/>
          <w:sz w:val="28"/>
          <w:szCs w:val="28"/>
          <w:lang w:val="az-Latn-AZ"/>
        </w:rPr>
        <w:t>’s total greenhouse gas emissions in</w:t>
      </w:r>
      <w:r w:rsidR="00C81F29" w:rsidRPr="00BF5255">
        <w:rPr>
          <w:rFonts w:ascii="Arial" w:hAnsi="Arial" w:cs="Arial"/>
          <w:sz w:val="28"/>
          <w:szCs w:val="28"/>
          <w:lang w:val="az-Latn-AZ"/>
        </w:rPr>
        <w:t xml:space="preserve"> </w:t>
      </w:r>
      <w:r w:rsidR="00B64EEB" w:rsidRPr="00BF5255">
        <w:rPr>
          <w:rFonts w:ascii="Arial" w:hAnsi="Arial" w:cs="Arial"/>
          <w:sz w:val="28"/>
          <w:szCs w:val="28"/>
          <w:lang w:val="az-Latn-AZ"/>
        </w:rPr>
        <w:t xml:space="preserve">2024 </w:t>
      </w:r>
      <w:r w:rsidR="00185A1E" w:rsidRPr="00BF5255">
        <w:rPr>
          <w:rFonts w:ascii="Arial" w:hAnsi="Arial" w:cs="Arial"/>
          <w:sz w:val="28"/>
          <w:szCs w:val="28"/>
          <w:lang w:val="az-Latn-AZ"/>
        </w:rPr>
        <w:t xml:space="preserve">were </w:t>
      </w:r>
      <w:r w:rsidR="00B64EEB" w:rsidRPr="00BF5255">
        <w:rPr>
          <w:rFonts w:ascii="Arial" w:hAnsi="Arial" w:cs="Arial"/>
          <w:sz w:val="28"/>
          <w:szCs w:val="28"/>
          <w:lang w:val="az-Latn-AZ"/>
        </w:rPr>
        <w:t xml:space="preserve">584.5 </w:t>
      </w:r>
      <w:r w:rsidR="00185A1E" w:rsidRPr="00BF5255">
        <w:rPr>
          <w:rFonts w:ascii="Arial" w:hAnsi="Arial" w:cs="Arial"/>
          <w:sz w:val="28"/>
          <w:szCs w:val="28"/>
          <w:lang w:val="az-Latn-AZ"/>
        </w:rPr>
        <w:t>MtCO2-equivalent, a</w:t>
      </w:r>
      <w:r w:rsidR="00B64EEB" w:rsidRPr="00BF5255">
        <w:rPr>
          <w:rFonts w:ascii="Arial" w:hAnsi="Arial" w:cs="Arial"/>
          <w:sz w:val="28"/>
          <w:szCs w:val="28"/>
          <w:lang w:val="az-Latn-AZ"/>
        </w:rPr>
        <w:t>n</w:t>
      </w:r>
      <w:r w:rsidR="00185A1E" w:rsidRPr="00BF5255">
        <w:rPr>
          <w:rFonts w:ascii="Arial" w:hAnsi="Arial" w:cs="Arial"/>
          <w:sz w:val="28"/>
          <w:szCs w:val="28"/>
          <w:lang w:val="az-Latn-AZ"/>
        </w:rPr>
        <w:t xml:space="preserve"> </w:t>
      </w:r>
      <w:r w:rsidR="00B64EEB" w:rsidRPr="00BF5255">
        <w:rPr>
          <w:rFonts w:ascii="Arial" w:hAnsi="Arial" w:cs="Arial"/>
          <w:sz w:val="28"/>
          <w:szCs w:val="28"/>
          <w:lang w:val="az-Latn-AZ"/>
        </w:rPr>
        <w:t xml:space="preserve">increase </w:t>
      </w:r>
      <w:r w:rsidR="00185A1E" w:rsidRPr="00BF5255">
        <w:rPr>
          <w:rFonts w:ascii="Arial" w:hAnsi="Arial" w:cs="Arial"/>
          <w:sz w:val="28"/>
          <w:szCs w:val="28"/>
          <w:lang w:val="az-Latn-AZ"/>
        </w:rPr>
        <w:t xml:space="preserve">of </w:t>
      </w:r>
      <w:r w:rsidR="00B64EEB" w:rsidRPr="00BF5255">
        <w:rPr>
          <w:rFonts w:ascii="Arial" w:hAnsi="Arial" w:cs="Arial"/>
          <w:sz w:val="28"/>
          <w:szCs w:val="28"/>
          <w:lang w:val="az-Latn-AZ"/>
        </w:rPr>
        <w:t>5.3</w:t>
      </w:r>
      <w:r w:rsidR="00185A1E" w:rsidRPr="00BF5255">
        <w:rPr>
          <w:rFonts w:ascii="Arial" w:hAnsi="Arial" w:cs="Arial"/>
          <w:sz w:val="28"/>
          <w:szCs w:val="28"/>
          <w:lang w:val="az-Latn-AZ"/>
        </w:rPr>
        <w:t>% compared to the previous year.</w:t>
      </w:r>
      <w:r w:rsidRPr="00BF5255">
        <w:rPr>
          <w:rFonts w:ascii="Arial" w:hAnsi="Arial" w:cs="Arial"/>
          <w:sz w:val="28"/>
          <w:szCs w:val="28"/>
          <w:lang w:val="az-Latn-AZ"/>
        </w:rPr>
        <w:t xml:space="preserve"> </w:t>
      </w:r>
      <w:r w:rsidR="00185A1E" w:rsidRPr="00BF5255">
        <w:rPr>
          <w:rFonts w:ascii="Arial" w:hAnsi="Arial" w:cs="Arial"/>
          <w:sz w:val="28"/>
          <w:szCs w:val="28"/>
          <w:lang w:val="az-Latn-AZ"/>
        </w:rPr>
        <w:t>71.</w:t>
      </w:r>
      <w:r w:rsidR="00B64EEB" w:rsidRPr="00BF5255">
        <w:rPr>
          <w:rFonts w:ascii="Arial" w:hAnsi="Arial" w:cs="Arial"/>
          <w:sz w:val="28"/>
          <w:szCs w:val="28"/>
          <w:lang w:val="az-Latn-AZ"/>
        </w:rPr>
        <w:t xml:space="preserve"> 8</w:t>
      </w:r>
      <w:r w:rsidR="00185A1E" w:rsidRPr="00BF5255">
        <w:rPr>
          <w:rFonts w:ascii="Arial" w:hAnsi="Arial" w:cs="Arial"/>
          <w:sz w:val="28"/>
          <w:szCs w:val="28"/>
          <w:lang w:val="az-Latn-AZ"/>
        </w:rPr>
        <w:t>% of emissions came from the energy sector.</w:t>
      </w:r>
      <w:r w:rsidRPr="00BF5255">
        <w:rPr>
          <w:rFonts w:ascii="Arial" w:hAnsi="Arial" w:cs="Arial"/>
          <w:sz w:val="28"/>
          <w:szCs w:val="28"/>
          <w:lang w:val="az-Latn-AZ"/>
        </w:rPr>
        <w:t xml:space="preserve"> </w:t>
      </w:r>
      <w:r w:rsidR="00185A1E" w:rsidRPr="00BF5255">
        <w:rPr>
          <w:rFonts w:ascii="Arial" w:hAnsi="Arial" w:cs="Arial"/>
          <w:sz w:val="28"/>
          <w:szCs w:val="28"/>
          <w:lang w:val="az-Latn-AZ"/>
        </w:rPr>
        <w:t xml:space="preserve">Electricity and heat generation accounted for 26% of emissions: </w:t>
      </w:r>
      <w:r w:rsidR="00B64EEB" w:rsidRPr="00BF5255">
        <w:rPr>
          <w:rFonts w:ascii="Arial" w:hAnsi="Arial" w:cs="Arial"/>
          <w:sz w:val="28"/>
          <w:szCs w:val="28"/>
          <w:lang w:val="az-Latn-AZ"/>
        </w:rPr>
        <w:t>151</w:t>
      </w:r>
      <w:r w:rsidR="00185A1E" w:rsidRPr="00BF5255">
        <w:rPr>
          <w:rFonts w:ascii="Arial" w:hAnsi="Arial" w:cs="Arial"/>
          <w:sz w:val="28"/>
          <w:szCs w:val="28"/>
          <w:lang w:val="az-Latn-AZ"/>
        </w:rPr>
        <w:t>MtCO2-equivalent in 202</w:t>
      </w:r>
      <w:r w:rsidR="00B64EEB" w:rsidRPr="00BF5255">
        <w:rPr>
          <w:rFonts w:ascii="Arial" w:hAnsi="Arial" w:cs="Arial"/>
          <w:sz w:val="28"/>
          <w:szCs w:val="28"/>
          <w:lang w:val="az-Latn-AZ"/>
        </w:rPr>
        <w:t>4</w:t>
      </w:r>
      <w:r w:rsidR="00185A1E" w:rsidRPr="00BF5255">
        <w:rPr>
          <w:rFonts w:ascii="Arial" w:hAnsi="Arial" w:cs="Arial"/>
          <w:sz w:val="28"/>
          <w:szCs w:val="28"/>
          <w:lang w:val="az-Latn-AZ"/>
        </w:rPr>
        <w:t xml:space="preserve">, with coal-based electricity and heat at </w:t>
      </w:r>
      <w:r w:rsidR="00B64EEB" w:rsidRPr="00BF5255">
        <w:rPr>
          <w:rFonts w:ascii="Arial" w:hAnsi="Arial" w:cs="Arial"/>
          <w:sz w:val="28"/>
          <w:szCs w:val="28"/>
          <w:lang w:val="az-Latn-AZ"/>
        </w:rPr>
        <w:t xml:space="preserve"> </w:t>
      </w:r>
      <w:r w:rsidR="00F25768" w:rsidRPr="00BF5255">
        <w:rPr>
          <w:rFonts w:ascii="Arial" w:hAnsi="Arial" w:cs="Arial"/>
          <w:sz w:val="28"/>
          <w:szCs w:val="28"/>
          <w:lang w:val="az-Latn-AZ"/>
        </w:rPr>
        <w:t>1</w:t>
      </w:r>
      <w:r w:rsidR="00B64EEB" w:rsidRPr="00BF5255">
        <w:rPr>
          <w:rFonts w:ascii="Arial" w:hAnsi="Arial" w:cs="Arial"/>
          <w:sz w:val="28"/>
          <w:szCs w:val="28"/>
          <w:lang w:val="az-Latn-AZ"/>
        </w:rPr>
        <w:t>17</w:t>
      </w:r>
      <w:r w:rsidR="00185A1E" w:rsidRPr="00BF5255">
        <w:rPr>
          <w:rFonts w:ascii="Arial" w:hAnsi="Arial" w:cs="Arial"/>
          <w:sz w:val="28"/>
          <w:szCs w:val="28"/>
          <w:lang w:val="az-Latn-AZ"/>
        </w:rPr>
        <w:t xml:space="preserve"> MtCO2 and natural gas at 27. MtCO2.</w:t>
      </w:r>
    </w:p>
    <w:p w14:paraId="1A91D4CF" w14:textId="0D319CE4"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In line with the COP28 Global Stocktake decisions, </w:t>
      </w:r>
      <w:r w:rsidR="00CF194D" w:rsidRPr="00BF5255">
        <w:rPr>
          <w:rFonts w:ascii="Arial" w:hAnsi="Arial" w:cs="Arial"/>
          <w:sz w:val="28"/>
          <w:szCs w:val="28"/>
          <w:lang w:val="az-Latn-AZ"/>
        </w:rPr>
        <w:t>Türkiye aims to</w:t>
      </w:r>
      <w:r w:rsidR="00AD0F64" w:rsidRPr="00BF5255">
        <w:rPr>
          <w:rFonts w:ascii="Arial" w:hAnsi="Arial" w:cs="Arial"/>
          <w:sz w:val="28"/>
          <w:szCs w:val="28"/>
          <w:lang w:val="az-Latn-AZ"/>
        </w:rPr>
        <w:t xml:space="preserve"> triple</w:t>
      </w:r>
      <w:r w:rsidR="00CF194D" w:rsidRPr="00BF5255">
        <w:rPr>
          <w:rFonts w:ascii="Arial" w:hAnsi="Arial" w:cs="Arial"/>
          <w:sz w:val="28"/>
          <w:szCs w:val="28"/>
          <w:lang w:val="az-Latn-AZ"/>
        </w:rPr>
        <w:t xml:space="preserve"> </w:t>
      </w:r>
      <w:r w:rsidR="00AD0F64" w:rsidRPr="00BF5255">
        <w:rPr>
          <w:rFonts w:ascii="Arial" w:hAnsi="Arial" w:cs="Arial"/>
          <w:sz w:val="28"/>
          <w:szCs w:val="28"/>
          <w:lang w:val="az-Latn-AZ"/>
        </w:rPr>
        <w:t xml:space="preserve">current cumulative wind and solar </w:t>
      </w:r>
      <w:r w:rsidRPr="00BF5255">
        <w:rPr>
          <w:rFonts w:ascii="Arial" w:hAnsi="Arial" w:cs="Arial"/>
          <w:sz w:val="28"/>
          <w:szCs w:val="28"/>
          <w:lang w:val="az-Latn-AZ"/>
        </w:rPr>
        <w:t>installed capacity to 120 GW by 2035,</w:t>
      </w:r>
    </w:p>
    <w:p w14:paraId="679DBE3F"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Reduce energy intensity by 15% by 2030,</w:t>
      </w:r>
    </w:p>
    <w:p w14:paraId="299867CE"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Make USD 10 billion in grid investments by 2035 and USD 28 billion by 2053,</w:t>
      </w:r>
    </w:p>
    <w:p w14:paraId="7B82A73C" w14:textId="270D8112"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Establish a 40 GW HVDC corridor and 40 HVDC Converter Centers, and increase the AC grid from 75,464 km to 90,500 km.</w:t>
      </w:r>
    </w:p>
    <w:p w14:paraId="3AE339FC"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It is expected that the energy transition will increase the demand for rare earth elements and critical minerals, and achieving net-zero carbon targets will require:</w:t>
      </w:r>
    </w:p>
    <w:p w14:paraId="3A343F0E" w14:textId="1D8ED29C"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w:t>
      </w:r>
      <w:r w:rsidRPr="00BF5255">
        <w:rPr>
          <w:rFonts w:ascii="Arial" w:hAnsi="Arial" w:cs="Arial"/>
          <w:sz w:val="28"/>
          <w:szCs w:val="28"/>
          <w:lang w:val="az-Latn-AZ"/>
        </w:rPr>
        <w:tab/>
        <w:t>Efficient use of existing reserves and natural resources,</w:t>
      </w:r>
    </w:p>
    <w:p w14:paraId="0163D302" w14:textId="06DEEB00"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w:t>
      </w:r>
      <w:r w:rsidRPr="00BF5255">
        <w:rPr>
          <w:rFonts w:ascii="Arial" w:hAnsi="Arial" w:cs="Arial"/>
          <w:sz w:val="28"/>
          <w:szCs w:val="28"/>
          <w:lang w:val="az-Latn-AZ"/>
        </w:rPr>
        <w:tab/>
        <w:t>Discovery of economically viable new reserves,</w:t>
      </w:r>
    </w:p>
    <w:p w14:paraId="6DA29BD0" w14:textId="39DA5776"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w:t>
      </w:r>
      <w:r w:rsidRPr="00BF5255">
        <w:rPr>
          <w:rFonts w:ascii="Arial" w:hAnsi="Arial" w:cs="Arial"/>
          <w:sz w:val="28"/>
          <w:szCs w:val="28"/>
          <w:lang w:val="az-Latn-AZ"/>
        </w:rPr>
        <w:tab/>
        <w:t>Ensuring supply chain security,</w:t>
      </w:r>
    </w:p>
    <w:p w14:paraId="49F864DC" w14:textId="638DA656"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w:t>
      </w:r>
      <w:r w:rsidRPr="00BF5255">
        <w:rPr>
          <w:rFonts w:ascii="Arial" w:hAnsi="Arial" w:cs="Arial"/>
          <w:sz w:val="28"/>
          <w:szCs w:val="28"/>
          <w:lang w:val="az-Latn-AZ"/>
        </w:rPr>
        <w:tab/>
        <w:t>Establishing international cooperation.</w:t>
      </w:r>
    </w:p>
    <w:p w14:paraId="5AC08F39" w14:textId="0E25A296"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These minerals are increasingly important for electric vehicles, solar panels, smartphones, permanent magnets, and renewable energy systems. However, their geographic concentration poses significant supply chain risks. Lithium, cobalt, and rare earth elements are particularly critical for technological development and green energy transition.</w:t>
      </w:r>
    </w:p>
    <w:p w14:paraId="7F949885" w14:textId="77777777" w:rsidR="00E62E9E" w:rsidRPr="00BF5255" w:rsidRDefault="00185A1E" w:rsidP="00802C0D">
      <w:pPr>
        <w:ind w:right="-279"/>
        <w:jc w:val="both"/>
        <w:rPr>
          <w:rFonts w:ascii="Arial" w:hAnsi="Arial" w:cs="Arial"/>
          <w:sz w:val="28"/>
          <w:szCs w:val="28"/>
          <w:lang w:val="az-Latn-AZ"/>
        </w:rPr>
      </w:pPr>
      <w:bookmarkStart w:id="1" w:name="_Hlk225380968"/>
      <w:r w:rsidRPr="00BF5255">
        <w:rPr>
          <w:rFonts w:ascii="Arial" w:hAnsi="Arial" w:cs="Arial"/>
          <w:sz w:val="28"/>
          <w:szCs w:val="28"/>
          <w:lang w:val="az-Latn-AZ"/>
        </w:rPr>
        <w:t>Considering the increased demand for metals and the direct impact on mining activities during the energy transition, efficient use of natural resources and environmental and human health considerations will become more prominent. Cooperation among TURKPA member states in this regard will be beneficial.</w:t>
      </w:r>
      <w:bookmarkEnd w:id="1"/>
    </w:p>
    <w:p w14:paraId="04B56BBD" w14:textId="22864B1C"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Methods that protect the environment and human health and gradually reduce fossil fuel use shoul</w:t>
      </w:r>
      <w:r w:rsidR="00F3468D" w:rsidRPr="00BF5255">
        <w:rPr>
          <w:rFonts w:ascii="Arial" w:hAnsi="Arial" w:cs="Arial"/>
          <w:sz w:val="28"/>
          <w:szCs w:val="28"/>
          <w:lang w:val="az-Latn-AZ"/>
        </w:rPr>
        <w:t>d be preferred. In this context, cooperation</w:t>
      </w:r>
      <w:r w:rsidRPr="00BF5255">
        <w:rPr>
          <w:rFonts w:ascii="Arial" w:hAnsi="Arial" w:cs="Arial"/>
          <w:sz w:val="28"/>
          <w:szCs w:val="28"/>
          <w:lang w:val="az-Latn-AZ"/>
        </w:rPr>
        <w:t xml:space="preserve"> for field identification, ore processing, and metal recovery of critical minerals used in wind turbines, EV permanent magnets (Nd, Pr, Dy), and battery technologies (Li, Ni, Co),</w:t>
      </w:r>
      <w:r w:rsidR="00F3468D" w:rsidRPr="00BF5255">
        <w:rPr>
          <w:rFonts w:ascii="Arial" w:hAnsi="Arial" w:cs="Arial"/>
          <w:sz w:val="28"/>
          <w:szCs w:val="28"/>
          <w:lang w:val="az-Latn-AZ"/>
        </w:rPr>
        <w:t xml:space="preserve"> </w:t>
      </w:r>
      <w:r w:rsidRPr="00BF5255">
        <w:rPr>
          <w:rFonts w:ascii="Arial" w:hAnsi="Arial" w:cs="Arial"/>
          <w:sz w:val="28"/>
          <w:szCs w:val="28"/>
          <w:lang w:val="az-Latn-AZ"/>
        </w:rPr>
        <w:t>Joint research on lithium production from geothermal sources,</w:t>
      </w:r>
      <w:r w:rsidR="00F3468D" w:rsidRPr="00BF5255">
        <w:rPr>
          <w:rFonts w:ascii="Arial" w:hAnsi="Arial" w:cs="Arial"/>
          <w:sz w:val="28"/>
          <w:szCs w:val="28"/>
          <w:lang w:val="az-Latn-AZ"/>
        </w:rPr>
        <w:t xml:space="preserve"> determining</w:t>
      </w:r>
      <w:r w:rsidRPr="00BF5255">
        <w:rPr>
          <w:rFonts w:ascii="Arial" w:hAnsi="Arial" w:cs="Arial"/>
          <w:sz w:val="28"/>
          <w:szCs w:val="28"/>
          <w:lang w:val="az-Latn-AZ"/>
        </w:rPr>
        <w:t xml:space="preserve"> the potential of recovering critical minerals from electronic and mining waste,</w:t>
      </w:r>
      <w:r w:rsidR="00F3468D" w:rsidRPr="00BF5255">
        <w:rPr>
          <w:rFonts w:ascii="Arial" w:hAnsi="Arial" w:cs="Arial"/>
          <w:sz w:val="28"/>
          <w:szCs w:val="28"/>
          <w:lang w:val="az-Latn-AZ"/>
        </w:rPr>
        <w:t xml:space="preserve"> </w:t>
      </w:r>
      <w:r w:rsidRPr="00BF5255">
        <w:rPr>
          <w:rFonts w:ascii="Arial" w:hAnsi="Arial" w:cs="Arial"/>
          <w:sz w:val="28"/>
          <w:szCs w:val="28"/>
          <w:lang w:val="az-Latn-AZ"/>
        </w:rPr>
        <w:t>Developing cooperation on rare earth elements and critical minerals in Kyrgyzstan with over 15,</w:t>
      </w:r>
      <w:r w:rsidR="00F3468D" w:rsidRPr="00BF5255">
        <w:rPr>
          <w:rFonts w:ascii="Arial" w:hAnsi="Arial" w:cs="Arial"/>
          <w:sz w:val="28"/>
          <w:szCs w:val="28"/>
          <w:lang w:val="az-Latn-AZ"/>
        </w:rPr>
        <w:t xml:space="preserve">000 discovered mineral deposits. </w:t>
      </w:r>
      <w:r w:rsidRPr="00BF5255">
        <w:rPr>
          <w:rFonts w:ascii="Arial" w:hAnsi="Arial" w:cs="Arial"/>
          <w:sz w:val="28"/>
          <w:szCs w:val="28"/>
          <w:lang w:val="az-Latn-AZ"/>
        </w:rPr>
        <w:t>Comprehensive cooperation in mining due to Kazakhstan’s global position in minerals such</w:t>
      </w:r>
      <w:r w:rsidR="00F3468D" w:rsidRPr="00BF5255">
        <w:rPr>
          <w:rFonts w:ascii="Arial" w:hAnsi="Arial" w:cs="Arial"/>
          <w:sz w:val="28"/>
          <w:szCs w:val="28"/>
          <w:lang w:val="az-Latn-AZ"/>
        </w:rPr>
        <w:t xml:space="preserve"> as uranium, chromium, and zinc </w:t>
      </w:r>
      <w:r w:rsidRPr="00BF5255">
        <w:rPr>
          <w:rFonts w:ascii="Arial" w:hAnsi="Arial" w:cs="Arial"/>
          <w:sz w:val="28"/>
          <w:szCs w:val="28"/>
          <w:lang w:val="az-Latn-AZ"/>
        </w:rPr>
        <w:t>will be beneficial for all parties.</w:t>
      </w:r>
    </w:p>
    <w:p w14:paraId="1F2E42B5" w14:textId="2C389663"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The Green Deal Action Plan prepared by the Green Deal Working Group (GDWG) established under the coordination of the Ministry of Trade in 2020 includes 9 main headings, 32 targets, and 81 actions. The Ministry of Energy of the Republic of Turkey is responsible for 3 main headings, 3 targets, and 7 actions. The Clean Energy Specialization Working Group’s activities are conducted under the coordination of the EVÇED Presidency.</w:t>
      </w:r>
    </w:p>
    <w:p w14:paraId="4166E80E" w14:textId="350BD72D"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 xml:space="preserve">In 2024, the affiliated, relevant, and related institutions of </w:t>
      </w:r>
      <w:r w:rsidR="00F3468D" w:rsidRPr="00BF5255">
        <w:rPr>
          <w:rFonts w:ascii="Arial" w:hAnsi="Arial" w:cs="Arial"/>
          <w:sz w:val="28"/>
          <w:szCs w:val="28"/>
          <w:lang w:val="az-Latn-AZ"/>
        </w:rPr>
        <w:t>the</w:t>
      </w:r>
      <w:r w:rsidRPr="00BF5255">
        <w:rPr>
          <w:rFonts w:ascii="Arial" w:hAnsi="Arial" w:cs="Arial"/>
          <w:sz w:val="28"/>
          <w:szCs w:val="28"/>
          <w:lang w:val="az-Latn-AZ"/>
        </w:rPr>
        <w:t xml:space="preserve"> Ministry</w:t>
      </w:r>
      <w:r w:rsidR="00F3468D" w:rsidRPr="00BF5255">
        <w:rPr>
          <w:rFonts w:ascii="Arial" w:hAnsi="Arial" w:cs="Arial"/>
          <w:sz w:val="28"/>
          <w:szCs w:val="28"/>
          <w:lang w:val="az-Latn-AZ"/>
        </w:rPr>
        <w:t xml:space="preserve"> of Energy of the Republic of T</w:t>
      </w:r>
      <w:r w:rsidR="00F3468D" w:rsidRPr="00BF5255">
        <w:rPr>
          <w:rFonts w:ascii="Arial" w:hAnsi="Arial" w:cs="Arial"/>
          <w:sz w:val="28"/>
          <w:szCs w:val="28"/>
          <w:lang w:val="tr-TR"/>
        </w:rPr>
        <w:t>ü</w:t>
      </w:r>
      <w:r w:rsidR="00F3468D" w:rsidRPr="00BF5255">
        <w:rPr>
          <w:rFonts w:ascii="Arial" w:hAnsi="Arial" w:cs="Arial"/>
          <w:sz w:val="28"/>
          <w:szCs w:val="28"/>
          <w:lang w:val="az-Latn-AZ"/>
        </w:rPr>
        <w:t>rki</w:t>
      </w:r>
      <w:r w:rsidRPr="00BF5255">
        <w:rPr>
          <w:rFonts w:ascii="Arial" w:hAnsi="Arial" w:cs="Arial"/>
          <w:sz w:val="28"/>
          <w:szCs w:val="28"/>
          <w:lang w:val="az-Latn-AZ"/>
        </w:rPr>
        <w:t>y</w:t>
      </w:r>
      <w:r w:rsidR="00F3468D" w:rsidRPr="00BF5255">
        <w:rPr>
          <w:rFonts w:ascii="Arial" w:hAnsi="Arial" w:cs="Arial"/>
          <w:sz w:val="28"/>
          <w:szCs w:val="28"/>
          <w:lang w:val="az-Latn-AZ"/>
        </w:rPr>
        <w:t>e</w:t>
      </w:r>
      <w:r w:rsidRPr="00BF5255">
        <w:rPr>
          <w:rFonts w:ascii="Arial" w:hAnsi="Arial" w:cs="Arial"/>
          <w:sz w:val="28"/>
          <w:szCs w:val="28"/>
          <w:lang w:val="az-Latn-AZ"/>
        </w:rPr>
        <w:t>:</w:t>
      </w:r>
      <w:r w:rsidR="00F3468D" w:rsidRPr="00BF5255">
        <w:rPr>
          <w:rFonts w:ascii="Arial" w:hAnsi="Arial" w:cs="Arial"/>
          <w:sz w:val="28"/>
          <w:szCs w:val="28"/>
          <w:lang w:val="az-Latn-AZ"/>
        </w:rPr>
        <w:t xml:space="preserve"> </w:t>
      </w:r>
    </w:p>
    <w:p w14:paraId="23E1383B" w14:textId="3545C2E3"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 xml:space="preserve">Spent </w:t>
      </w:r>
      <w:r w:rsidR="00AD0F64" w:rsidRPr="00BF5255">
        <w:rPr>
          <w:rFonts w:ascii="Arial" w:hAnsi="Arial" w:cs="Arial"/>
          <w:sz w:val="28"/>
          <w:szCs w:val="28"/>
          <w:lang w:val="az-Latn-AZ"/>
        </w:rPr>
        <w:t xml:space="preserve">887 </w:t>
      </w:r>
      <w:r w:rsidRPr="00BF5255">
        <w:rPr>
          <w:rFonts w:ascii="Arial" w:hAnsi="Arial" w:cs="Arial"/>
          <w:sz w:val="28"/>
          <w:szCs w:val="28"/>
          <w:lang w:val="az-Latn-AZ"/>
        </w:rPr>
        <w:t xml:space="preserve">million TL on environmental activities, generating </w:t>
      </w:r>
      <w:r w:rsidR="00AD0F64" w:rsidRPr="00BF5255">
        <w:rPr>
          <w:rFonts w:ascii="Arial" w:hAnsi="Arial" w:cs="Arial"/>
          <w:sz w:val="28"/>
          <w:szCs w:val="28"/>
          <w:lang w:val="az-Latn-AZ"/>
        </w:rPr>
        <w:t>755</w:t>
      </w:r>
      <w:r w:rsidRPr="00BF5255">
        <w:rPr>
          <w:rFonts w:ascii="Arial" w:hAnsi="Arial" w:cs="Arial"/>
          <w:sz w:val="28"/>
          <w:szCs w:val="28"/>
          <w:lang w:val="az-Latn-AZ"/>
        </w:rPr>
        <w:t xml:space="preserve"> million TL in economic gains,</w:t>
      </w:r>
    </w:p>
    <w:p w14:paraId="1236EC6E"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Treated 13.8 million m³ of water, with 61% recovered,</w:t>
      </w:r>
    </w:p>
    <w:p w14:paraId="6018E5E4" w14:textId="46C2314E"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 xml:space="preserve">Managed 6.8 million tons of waste through recovery, alternative raw materials, or disposal, </w:t>
      </w:r>
      <w:r w:rsidR="00AD0F64" w:rsidRPr="00BF5255">
        <w:rPr>
          <w:rFonts w:ascii="Arial" w:hAnsi="Arial" w:cs="Arial"/>
          <w:sz w:val="28"/>
          <w:szCs w:val="28"/>
          <w:lang w:val="az-Latn-AZ"/>
        </w:rPr>
        <w:t xml:space="preserve">spending approximately 213 million TL and </w:t>
      </w:r>
      <w:r w:rsidRPr="00BF5255">
        <w:rPr>
          <w:rFonts w:ascii="Arial" w:hAnsi="Arial" w:cs="Arial"/>
          <w:sz w:val="28"/>
          <w:szCs w:val="28"/>
          <w:lang w:val="az-Latn-AZ"/>
        </w:rPr>
        <w:t>generating 288 million TL in economic gains,</w:t>
      </w:r>
    </w:p>
    <w:p w14:paraId="363842EE" w14:textId="77777777"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Spent 132.5 million TL on soil quality, achieving 4.2 million TL gains,</w:t>
      </w:r>
    </w:p>
    <w:p w14:paraId="276C7BE7" w14:textId="08599B54"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t xml:space="preserve">Planted </w:t>
      </w:r>
      <w:r w:rsidR="00AD0F64" w:rsidRPr="00BF5255">
        <w:rPr>
          <w:rFonts w:ascii="Arial" w:hAnsi="Arial" w:cs="Arial"/>
          <w:sz w:val="28"/>
          <w:szCs w:val="28"/>
          <w:lang w:val="az-Latn-AZ"/>
        </w:rPr>
        <w:t xml:space="preserve">around 360 thousand </w:t>
      </w:r>
      <w:r w:rsidRPr="00BF5255">
        <w:rPr>
          <w:rFonts w:ascii="Arial" w:hAnsi="Arial" w:cs="Arial"/>
          <w:sz w:val="28"/>
          <w:szCs w:val="28"/>
          <w:lang w:val="az-Latn-AZ"/>
        </w:rPr>
        <w:t xml:space="preserve">trees, reducing </w:t>
      </w:r>
      <w:r w:rsidR="00AD0F64" w:rsidRPr="00BF5255">
        <w:rPr>
          <w:rFonts w:ascii="Arial" w:hAnsi="Arial" w:cs="Arial"/>
          <w:sz w:val="28"/>
          <w:szCs w:val="28"/>
          <w:lang w:val="az-Latn-AZ"/>
        </w:rPr>
        <w:t>nearly 4000</w:t>
      </w:r>
      <w:r w:rsidRPr="00BF5255">
        <w:rPr>
          <w:rFonts w:ascii="Arial" w:hAnsi="Arial" w:cs="Arial"/>
          <w:sz w:val="28"/>
          <w:szCs w:val="28"/>
          <w:lang w:val="az-Latn-AZ"/>
        </w:rPr>
        <w:t xml:space="preserve"> tons of CO2 emissions,</w:t>
      </w:r>
    </w:p>
    <w:p w14:paraId="56E853D4" w14:textId="70A89A1D"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ab/>
        <w:t>•</w:t>
      </w:r>
      <w:r w:rsidRPr="00BF5255">
        <w:rPr>
          <w:rFonts w:ascii="Arial" w:hAnsi="Arial" w:cs="Arial"/>
          <w:sz w:val="28"/>
          <w:szCs w:val="28"/>
          <w:lang w:val="az-Latn-AZ"/>
        </w:rPr>
        <w:tab/>
      </w:r>
      <w:r w:rsidR="00AD0F64" w:rsidRPr="00BF5255">
        <w:rPr>
          <w:rFonts w:ascii="Arial" w:hAnsi="Arial" w:cs="Arial"/>
          <w:sz w:val="28"/>
          <w:szCs w:val="28"/>
          <w:lang w:val="az-Latn-AZ"/>
        </w:rPr>
        <w:t xml:space="preserve">Installed 42,817 kW of renewable capacity, generated 60,903 MWh of electricity, and reduced around 38  thousand </w:t>
      </w:r>
      <w:r w:rsidRPr="00BF5255">
        <w:rPr>
          <w:rFonts w:ascii="Arial" w:hAnsi="Arial" w:cs="Arial"/>
          <w:sz w:val="28"/>
          <w:szCs w:val="28"/>
          <w:lang w:val="az-Latn-AZ"/>
        </w:rPr>
        <w:t>of CO2-equivalent emissions.</w:t>
      </w:r>
    </w:p>
    <w:p w14:paraId="29E4D49E" w14:textId="5D80A4BD" w:rsidR="00185A1E" w:rsidRPr="00BF5255" w:rsidRDefault="00185A1E" w:rsidP="00802C0D">
      <w:pPr>
        <w:ind w:right="-279"/>
        <w:jc w:val="both"/>
        <w:rPr>
          <w:rFonts w:ascii="Arial" w:hAnsi="Arial" w:cs="Arial"/>
          <w:sz w:val="28"/>
          <w:szCs w:val="28"/>
          <w:lang w:val="az-Latn-AZ"/>
        </w:rPr>
      </w:pPr>
      <w:r w:rsidRPr="00BF5255">
        <w:rPr>
          <w:rFonts w:ascii="Arial" w:hAnsi="Arial" w:cs="Arial"/>
          <w:sz w:val="28"/>
          <w:szCs w:val="28"/>
          <w:lang w:val="az-Latn-AZ"/>
        </w:rPr>
        <w:t>Recent regulations allow the construction of power plants in areas</w:t>
      </w:r>
      <w:r w:rsidR="00F3468D" w:rsidRPr="00BF5255">
        <w:rPr>
          <w:rFonts w:ascii="Arial" w:hAnsi="Arial" w:cs="Arial"/>
          <w:sz w:val="28"/>
          <w:szCs w:val="28"/>
          <w:lang w:val="az-Latn-AZ"/>
        </w:rPr>
        <w:t xml:space="preserve"> designated as </w:t>
      </w:r>
      <w:r w:rsidRPr="00BF5255">
        <w:rPr>
          <w:rFonts w:ascii="Arial" w:hAnsi="Arial" w:cs="Arial"/>
          <w:sz w:val="28"/>
          <w:szCs w:val="28"/>
          <w:lang w:val="az-Latn-AZ"/>
        </w:rPr>
        <w:t xml:space="preserve">renewable energy resource zones by the Ministry on seas, dam lakes, artificial lakes, and natural lakes without zoning plans. Additionally, a draft law to accelerate investment and permit processes has been submitted to the Grand National Assembly of </w:t>
      </w:r>
      <w:r w:rsidR="00F3468D" w:rsidRPr="00BF5255">
        <w:rPr>
          <w:rFonts w:ascii="Arial" w:hAnsi="Arial" w:cs="Arial"/>
          <w:sz w:val="28"/>
          <w:szCs w:val="28"/>
          <w:lang w:val="az-Latn-AZ"/>
        </w:rPr>
        <w:t>Türkiye</w:t>
      </w:r>
      <w:r w:rsidRPr="00BF5255">
        <w:rPr>
          <w:rFonts w:ascii="Arial" w:hAnsi="Arial" w:cs="Arial"/>
          <w:sz w:val="28"/>
          <w:szCs w:val="28"/>
          <w:lang w:val="az-Latn-AZ"/>
        </w:rPr>
        <w:t>.</w:t>
      </w:r>
    </w:p>
    <w:p w14:paraId="2B3CBC88" w14:textId="54196706" w:rsidR="003937F8" w:rsidRPr="00BF5255" w:rsidRDefault="003937F8" w:rsidP="00802C0D">
      <w:pPr>
        <w:ind w:right="-279"/>
        <w:jc w:val="both"/>
        <w:rPr>
          <w:rFonts w:ascii="Arial" w:hAnsi="Arial" w:cs="Arial"/>
          <w:sz w:val="28"/>
          <w:szCs w:val="28"/>
          <w:lang w:val="az-Latn-AZ"/>
        </w:rPr>
      </w:pPr>
    </w:p>
    <w:p w14:paraId="6D92452B" w14:textId="442570A9" w:rsidR="003937F8" w:rsidRPr="00BF5255" w:rsidRDefault="003937F8" w:rsidP="00802C0D">
      <w:pPr>
        <w:ind w:right="-279"/>
        <w:jc w:val="both"/>
        <w:rPr>
          <w:rFonts w:ascii="Arial" w:hAnsi="Arial" w:cs="Arial"/>
          <w:b/>
          <w:sz w:val="28"/>
          <w:szCs w:val="28"/>
        </w:rPr>
      </w:pPr>
      <w:r w:rsidRPr="00BF5255">
        <w:rPr>
          <w:rFonts w:ascii="Arial" w:hAnsi="Arial" w:cs="Arial"/>
          <w:b/>
          <w:sz w:val="28"/>
          <w:szCs w:val="28"/>
          <w:lang w:val="az-Latn-AZ"/>
        </w:rPr>
        <w:t>CONCLUS</w:t>
      </w:r>
      <w:r w:rsidRPr="00BF5255">
        <w:rPr>
          <w:rFonts w:ascii="Arial" w:hAnsi="Arial" w:cs="Arial"/>
          <w:b/>
          <w:sz w:val="28"/>
          <w:szCs w:val="28"/>
        </w:rPr>
        <w:t>ION</w:t>
      </w:r>
    </w:p>
    <w:p w14:paraId="5CB61493" w14:textId="71D468F6" w:rsidR="003937F8" w:rsidRPr="00BF5255" w:rsidRDefault="003937F8" w:rsidP="00802C0D">
      <w:pPr>
        <w:ind w:right="-279"/>
        <w:jc w:val="both"/>
        <w:rPr>
          <w:rFonts w:ascii="Arial" w:hAnsi="Arial" w:cs="Arial"/>
          <w:sz w:val="28"/>
          <w:szCs w:val="28"/>
        </w:rPr>
      </w:pPr>
      <w:r w:rsidRPr="00BF5255">
        <w:rPr>
          <w:rFonts w:ascii="Arial" w:hAnsi="Arial" w:cs="Arial"/>
          <w:sz w:val="28"/>
          <w:szCs w:val="28"/>
        </w:rPr>
        <w:t xml:space="preserve">Environmental pollution remains one of the most pressing and complex challenges facing the member states of the Parliamentary Assembly of Turkic States. </w:t>
      </w:r>
    </w:p>
    <w:p w14:paraId="499399AB" w14:textId="476E75C7" w:rsidR="003937F8" w:rsidRPr="00BF5255" w:rsidRDefault="003937F8" w:rsidP="00802C0D">
      <w:pPr>
        <w:ind w:right="-279"/>
        <w:jc w:val="both"/>
        <w:rPr>
          <w:rFonts w:ascii="Arial" w:hAnsi="Arial" w:cs="Arial"/>
          <w:sz w:val="28"/>
          <w:szCs w:val="28"/>
        </w:rPr>
      </w:pPr>
      <w:r w:rsidRPr="00BF5255">
        <w:rPr>
          <w:rFonts w:ascii="Arial" w:hAnsi="Arial" w:cs="Arial"/>
          <w:sz w:val="28"/>
          <w:szCs w:val="28"/>
        </w:rPr>
        <w:t>The analysis shows that TURKPA member states have made significant progress in developing environmental policies, strengthening legal frameworks, and implementing practical measures to address pollution, climate change, and sustainable resource management. At the same time, common challenges persist, including air pollution, waste management, water scarcity, land degradation, and the impacts of climate change on public health and ecosystems.</w:t>
      </w:r>
    </w:p>
    <w:p w14:paraId="1444A92F" w14:textId="49305B59" w:rsidR="003729B9" w:rsidRPr="00BF5255" w:rsidRDefault="003729B9" w:rsidP="00802C0D">
      <w:pPr>
        <w:ind w:right="-279"/>
        <w:jc w:val="both"/>
        <w:rPr>
          <w:rFonts w:ascii="Arial" w:hAnsi="Arial" w:cs="Arial"/>
          <w:sz w:val="28"/>
          <w:szCs w:val="28"/>
        </w:rPr>
      </w:pPr>
      <w:r w:rsidRPr="00BF5255">
        <w:rPr>
          <w:rFonts w:ascii="Arial" w:hAnsi="Arial" w:cs="Arial"/>
          <w:sz w:val="28"/>
          <w:szCs w:val="28"/>
        </w:rPr>
        <w:t>In this context, regional cooperation emerges as a key factor for achieving long-term environmental sustainability. The growing number of joint initiatives, memoranda of understanding, and coordinated actions, particularly within the framework of international platforms such as COP29, demonstrates a strong commitment of Turkic states to deepen collaboration, exchange best practices, and align their environmental strategies. Looking ahead, the upcoming COP31, to be held in</w:t>
      </w:r>
      <w:r w:rsidR="00637234" w:rsidRPr="00BF5255">
        <w:rPr>
          <w:rFonts w:ascii="Arial" w:hAnsi="Arial" w:cs="Arial"/>
          <w:sz w:val="28"/>
          <w:szCs w:val="28"/>
        </w:rPr>
        <w:t xml:space="preserve"> Antalya,</w:t>
      </w:r>
      <w:r w:rsidRPr="00BF5255">
        <w:rPr>
          <w:rFonts w:ascii="Arial" w:hAnsi="Arial" w:cs="Arial"/>
          <w:sz w:val="28"/>
          <w:szCs w:val="28"/>
        </w:rPr>
        <w:t xml:space="preserve"> Türkiye, </w:t>
      </w:r>
      <w:r w:rsidR="00637234" w:rsidRPr="00BF5255">
        <w:rPr>
          <w:rFonts w:ascii="Arial" w:hAnsi="Arial" w:cs="Arial"/>
          <w:sz w:val="28"/>
          <w:szCs w:val="28"/>
        </w:rPr>
        <w:t xml:space="preserve">between 9-20 November 2026 </w:t>
      </w:r>
      <w:r w:rsidRPr="00BF5255">
        <w:rPr>
          <w:rFonts w:ascii="Arial" w:hAnsi="Arial" w:cs="Arial"/>
          <w:sz w:val="28"/>
          <w:szCs w:val="28"/>
        </w:rPr>
        <w:t>presents a significant opportunity to further strengthen this commitment and advance shared environmental goals at an even broader international level.</w:t>
      </w:r>
    </w:p>
    <w:p w14:paraId="17388D8B" w14:textId="75BA89EA" w:rsidR="003729B9" w:rsidRPr="00BF5255" w:rsidRDefault="003729B9" w:rsidP="00802C0D">
      <w:pPr>
        <w:ind w:right="-279"/>
        <w:jc w:val="both"/>
        <w:rPr>
          <w:rFonts w:ascii="Arial" w:hAnsi="Arial" w:cs="Arial"/>
          <w:sz w:val="28"/>
          <w:szCs w:val="28"/>
        </w:rPr>
      </w:pPr>
      <w:r w:rsidRPr="00BF5255">
        <w:rPr>
          <w:rFonts w:ascii="Arial" w:hAnsi="Arial" w:cs="Arial"/>
          <w:sz w:val="28"/>
          <w:szCs w:val="28"/>
        </w:rPr>
        <w:t>The impacts of climate change are increasingly felt globally, with environmental disasters, reductions in accessible freshwater, droughts, and epidemics increasing. To prevent these effects, countries must reduce carbon emissions and achieve net-zero carbon targets, which can only be achieved through energy transformation.</w:t>
      </w:r>
    </w:p>
    <w:p w14:paraId="6B5FCE05" w14:textId="7ACC62B2" w:rsidR="003937F8" w:rsidRPr="00BF5255" w:rsidRDefault="003937F8" w:rsidP="00802C0D">
      <w:pPr>
        <w:ind w:right="-279"/>
        <w:jc w:val="both"/>
        <w:rPr>
          <w:rFonts w:ascii="Arial" w:hAnsi="Arial" w:cs="Arial"/>
          <w:sz w:val="28"/>
          <w:szCs w:val="28"/>
        </w:rPr>
      </w:pPr>
      <w:r w:rsidRPr="00BF5255">
        <w:rPr>
          <w:rFonts w:ascii="Arial" w:hAnsi="Arial" w:cs="Arial"/>
          <w:sz w:val="28"/>
          <w:szCs w:val="28"/>
        </w:rPr>
        <w:t>The TURKPA platform provides a valuable mechanism for fostering dialogue, harmonizing legislation, and advancing joint initiatives among member states. By reinforcing cooperation and maintaining a shared vision, Turkic states can more effectively address environmental pollution, mitigate climate risks, and ensure a sustainable and resilient future for the region.</w:t>
      </w:r>
    </w:p>
    <w:p w14:paraId="4ABD7AC1" w14:textId="77777777" w:rsidR="00185A1E" w:rsidRPr="00BF5255" w:rsidRDefault="00185A1E" w:rsidP="00802C0D">
      <w:pPr>
        <w:ind w:right="-279"/>
        <w:jc w:val="both"/>
        <w:rPr>
          <w:rFonts w:ascii="Arial" w:hAnsi="Arial" w:cs="Arial"/>
          <w:sz w:val="28"/>
          <w:szCs w:val="28"/>
          <w:lang w:val="az-Latn-AZ"/>
        </w:rPr>
      </w:pPr>
    </w:p>
    <w:sectPr w:rsidR="00185A1E" w:rsidRPr="00BF5255" w:rsidSect="00802C0D">
      <w:footerReference w:type="default" r:id="rId7"/>
      <w:pgSz w:w="12240" w:h="15840"/>
      <w:pgMar w:top="1440" w:right="1440" w:bottom="1440" w:left="1440" w:header="708" w:footer="5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7DC17" w14:textId="77777777" w:rsidR="0065284E" w:rsidRDefault="0065284E" w:rsidP="00802C0D">
      <w:pPr>
        <w:spacing w:after="0" w:line="240" w:lineRule="auto"/>
      </w:pPr>
      <w:r>
        <w:separator/>
      </w:r>
    </w:p>
  </w:endnote>
  <w:endnote w:type="continuationSeparator" w:id="0">
    <w:p w14:paraId="169AF5BC" w14:textId="77777777" w:rsidR="0065284E" w:rsidRDefault="0065284E" w:rsidP="0080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2337633"/>
      <w:docPartObj>
        <w:docPartGallery w:val="Page Numbers (Bottom of Page)"/>
        <w:docPartUnique/>
      </w:docPartObj>
    </w:sdtPr>
    <w:sdtEndPr>
      <w:rPr>
        <w:noProof/>
      </w:rPr>
    </w:sdtEndPr>
    <w:sdtContent>
      <w:p w14:paraId="6C59D7CE" w14:textId="469684F8" w:rsidR="00802C0D" w:rsidRDefault="00802C0D">
        <w:pPr>
          <w:pStyle w:val="Footer"/>
          <w:jc w:val="right"/>
        </w:pPr>
        <w:r>
          <w:fldChar w:fldCharType="begin"/>
        </w:r>
        <w:r>
          <w:instrText xml:space="preserve"> PAGE   \* MERGEFORMAT </w:instrText>
        </w:r>
        <w:r>
          <w:fldChar w:fldCharType="separate"/>
        </w:r>
        <w:r w:rsidR="0065284E">
          <w:rPr>
            <w:noProof/>
          </w:rPr>
          <w:t>1</w:t>
        </w:r>
        <w:r>
          <w:rPr>
            <w:noProof/>
          </w:rPr>
          <w:fldChar w:fldCharType="end"/>
        </w:r>
      </w:p>
    </w:sdtContent>
  </w:sdt>
  <w:p w14:paraId="170E7A06" w14:textId="77777777" w:rsidR="00802C0D" w:rsidRDefault="00802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B6C1B" w14:textId="77777777" w:rsidR="0065284E" w:rsidRDefault="0065284E" w:rsidP="00802C0D">
      <w:pPr>
        <w:spacing w:after="0" w:line="240" w:lineRule="auto"/>
      </w:pPr>
      <w:r>
        <w:separator/>
      </w:r>
    </w:p>
  </w:footnote>
  <w:footnote w:type="continuationSeparator" w:id="0">
    <w:p w14:paraId="486632C9" w14:textId="77777777" w:rsidR="0065284E" w:rsidRDefault="0065284E" w:rsidP="00802C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A7"/>
    <w:rsid w:val="00001751"/>
    <w:rsid w:val="000063CA"/>
    <w:rsid w:val="00011CB7"/>
    <w:rsid w:val="00043AC1"/>
    <w:rsid w:val="00066D8C"/>
    <w:rsid w:val="000819F3"/>
    <w:rsid w:val="0008560D"/>
    <w:rsid w:val="000B3798"/>
    <w:rsid w:val="00123B7B"/>
    <w:rsid w:val="0016154F"/>
    <w:rsid w:val="0017130A"/>
    <w:rsid w:val="001771A8"/>
    <w:rsid w:val="00185A1E"/>
    <w:rsid w:val="001D35FF"/>
    <w:rsid w:val="002244A7"/>
    <w:rsid w:val="0022537E"/>
    <w:rsid w:val="00226E8C"/>
    <w:rsid w:val="0026734F"/>
    <w:rsid w:val="002C331A"/>
    <w:rsid w:val="00301C84"/>
    <w:rsid w:val="00301EB8"/>
    <w:rsid w:val="0031766D"/>
    <w:rsid w:val="00324C43"/>
    <w:rsid w:val="00325096"/>
    <w:rsid w:val="0033694D"/>
    <w:rsid w:val="003659BB"/>
    <w:rsid w:val="003729B9"/>
    <w:rsid w:val="00382DE8"/>
    <w:rsid w:val="003937F8"/>
    <w:rsid w:val="003B06D0"/>
    <w:rsid w:val="003B23CD"/>
    <w:rsid w:val="003B78E2"/>
    <w:rsid w:val="003C7A64"/>
    <w:rsid w:val="003F47CE"/>
    <w:rsid w:val="003F77B2"/>
    <w:rsid w:val="004142EB"/>
    <w:rsid w:val="00417AB9"/>
    <w:rsid w:val="0042172E"/>
    <w:rsid w:val="0042189F"/>
    <w:rsid w:val="00433131"/>
    <w:rsid w:val="00492531"/>
    <w:rsid w:val="004B43A7"/>
    <w:rsid w:val="004C3ABB"/>
    <w:rsid w:val="005577AB"/>
    <w:rsid w:val="005B464C"/>
    <w:rsid w:val="005F42E0"/>
    <w:rsid w:val="00637234"/>
    <w:rsid w:val="0065284E"/>
    <w:rsid w:val="006764F5"/>
    <w:rsid w:val="00695969"/>
    <w:rsid w:val="006A55B4"/>
    <w:rsid w:val="006E6AEB"/>
    <w:rsid w:val="00773A70"/>
    <w:rsid w:val="007754B3"/>
    <w:rsid w:val="007C1461"/>
    <w:rsid w:val="007C1C4E"/>
    <w:rsid w:val="007C6703"/>
    <w:rsid w:val="007E1B62"/>
    <w:rsid w:val="00802C0D"/>
    <w:rsid w:val="00813C8A"/>
    <w:rsid w:val="00873350"/>
    <w:rsid w:val="00875E42"/>
    <w:rsid w:val="008847B9"/>
    <w:rsid w:val="008A718A"/>
    <w:rsid w:val="008B59FA"/>
    <w:rsid w:val="009435B8"/>
    <w:rsid w:val="00A319A6"/>
    <w:rsid w:val="00A466A1"/>
    <w:rsid w:val="00A86DFC"/>
    <w:rsid w:val="00A919EA"/>
    <w:rsid w:val="00A92F4D"/>
    <w:rsid w:val="00A947B7"/>
    <w:rsid w:val="00AB42F9"/>
    <w:rsid w:val="00AB6161"/>
    <w:rsid w:val="00AB64F0"/>
    <w:rsid w:val="00AD0F64"/>
    <w:rsid w:val="00AF2614"/>
    <w:rsid w:val="00AF4037"/>
    <w:rsid w:val="00B372B8"/>
    <w:rsid w:val="00B51244"/>
    <w:rsid w:val="00B64EEB"/>
    <w:rsid w:val="00B96BB2"/>
    <w:rsid w:val="00B979C5"/>
    <w:rsid w:val="00BF1B4F"/>
    <w:rsid w:val="00BF5255"/>
    <w:rsid w:val="00C2066E"/>
    <w:rsid w:val="00C23485"/>
    <w:rsid w:val="00C3436A"/>
    <w:rsid w:val="00C370D4"/>
    <w:rsid w:val="00C81F29"/>
    <w:rsid w:val="00CA5977"/>
    <w:rsid w:val="00CD3AE1"/>
    <w:rsid w:val="00CE1FC8"/>
    <w:rsid w:val="00CE31BE"/>
    <w:rsid w:val="00CF0877"/>
    <w:rsid w:val="00CF194D"/>
    <w:rsid w:val="00CF4DCD"/>
    <w:rsid w:val="00CF5224"/>
    <w:rsid w:val="00D17328"/>
    <w:rsid w:val="00D6059A"/>
    <w:rsid w:val="00D70578"/>
    <w:rsid w:val="00D855FB"/>
    <w:rsid w:val="00DA4141"/>
    <w:rsid w:val="00DD050A"/>
    <w:rsid w:val="00DD372A"/>
    <w:rsid w:val="00DF057A"/>
    <w:rsid w:val="00E263E8"/>
    <w:rsid w:val="00E62E9E"/>
    <w:rsid w:val="00E76C35"/>
    <w:rsid w:val="00EA4A78"/>
    <w:rsid w:val="00EB261C"/>
    <w:rsid w:val="00EB28F2"/>
    <w:rsid w:val="00ED1ED0"/>
    <w:rsid w:val="00ED75DD"/>
    <w:rsid w:val="00F25768"/>
    <w:rsid w:val="00F3468D"/>
    <w:rsid w:val="00F44099"/>
    <w:rsid w:val="00F5011F"/>
    <w:rsid w:val="00F70CB3"/>
    <w:rsid w:val="00F82D59"/>
    <w:rsid w:val="00FA6BFD"/>
    <w:rsid w:val="00FE1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FB3C7"/>
  <w15:chartTrackingRefBased/>
  <w15:docId w15:val="{EDC854A6-2281-40E5-9310-32CA050DE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B43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43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43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43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43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43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3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3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3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3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43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43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43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43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43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3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3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3A7"/>
    <w:rPr>
      <w:rFonts w:eastAsiaTheme="majorEastAsia" w:cstheme="majorBidi"/>
      <w:color w:val="272727" w:themeColor="text1" w:themeTint="D8"/>
    </w:rPr>
  </w:style>
  <w:style w:type="paragraph" w:styleId="Title">
    <w:name w:val="Title"/>
    <w:basedOn w:val="Normal"/>
    <w:next w:val="Normal"/>
    <w:link w:val="TitleChar"/>
    <w:uiPriority w:val="10"/>
    <w:qFormat/>
    <w:rsid w:val="004B4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3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3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3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3A7"/>
    <w:pPr>
      <w:spacing w:before="160"/>
      <w:jc w:val="center"/>
    </w:pPr>
    <w:rPr>
      <w:i/>
      <w:iCs/>
      <w:color w:val="404040" w:themeColor="text1" w:themeTint="BF"/>
    </w:rPr>
  </w:style>
  <w:style w:type="character" w:customStyle="1" w:styleId="QuoteChar">
    <w:name w:val="Quote Char"/>
    <w:basedOn w:val="DefaultParagraphFont"/>
    <w:link w:val="Quote"/>
    <w:uiPriority w:val="29"/>
    <w:rsid w:val="004B43A7"/>
    <w:rPr>
      <w:i/>
      <w:iCs/>
      <w:color w:val="404040" w:themeColor="text1" w:themeTint="BF"/>
    </w:rPr>
  </w:style>
  <w:style w:type="paragraph" w:styleId="ListParagraph">
    <w:name w:val="List Paragraph"/>
    <w:basedOn w:val="Normal"/>
    <w:uiPriority w:val="34"/>
    <w:qFormat/>
    <w:rsid w:val="004B43A7"/>
    <w:pPr>
      <w:ind w:left="720"/>
      <w:contextualSpacing/>
    </w:pPr>
  </w:style>
  <w:style w:type="character" w:styleId="IntenseEmphasis">
    <w:name w:val="Intense Emphasis"/>
    <w:basedOn w:val="DefaultParagraphFont"/>
    <w:uiPriority w:val="21"/>
    <w:qFormat/>
    <w:rsid w:val="004B43A7"/>
    <w:rPr>
      <w:i/>
      <w:iCs/>
      <w:color w:val="2F5496" w:themeColor="accent1" w:themeShade="BF"/>
    </w:rPr>
  </w:style>
  <w:style w:type="paragraph" w:styleId="IntenseQuote">
    <w:name w:val="Intense Quote"/>
    <w:basedOn w:val="Normal"/>
    <w:next w:val="Normal"/>
    <w:link w:val="IntenseQuoteChar"/>
    <w:uiPriority w:val="30"/>
    <w:qFormat/>
    <w:rsid w:val="004B43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43A7"/>
    <w:rPr>
      <w:i/>
      <w:iCs/>
      <w:color w:val="2F5496" w:themeColor="accent1" w:themeShade="BF"/>
    </w:rPr>
  </w:style>
  <w:style w:type="character" w:styleId="IntenseReference">
    <w:name w:val="Intense Reference"/>
    <w:basedOn w:val="DefaultParagraphFont"/>
    <w:uiPriority w:val="32"/>
    <w:qFormat/>
    <w:rsid w:val="004B43A7"/>
    <w:rPr>
      <w:b/>
      <w:bCs/>
      <w:smallCaps/>
      <w:color w:val="2F5496" w:themeColor="accent1" w:themeShade="BF"/>
      <w:spacing w:val="5"/>
    </w:rPr>
  </w:style>
  <w:style w:type="paragraph" w:styleId="NormalWeb">
    <w:name w:val="Normal (Web)"/>
    <w:basedOn w:val="Normal"/>
    <w:uiPriority w:val="99"/>
    <w:unhideWhenUsed/>
    <w:rsid w:val="000819F3"/>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character" w:customStyle="1" w:styleId="ypks7kbdpwfgdykd3qb9">
    <w:name w:val="ypks7kbdpwfgdykd3qb9"/>
    <w:basedOn w:val="DefaultParagraphFont"/>
    <w:rsid w:val="000819F3"/>
  </w:style>
  <w:style w:type="paragraph" w:customStyle="1" w:styleId="Normal1">
    <w:name w:val="Normal1"/>
    <w:rsid w:val="00C370D4"/>
    <w:pPr>
      <w:spacing w:after="0" w:line="276" w:lineRule="auto"/>
    </w:pPr>
    <w:rPr>
      <w:rFonts w:ascii="Arial" w:eastAsia="Arial" w:hAnsi="Arial" w:cs="Arial"/>
      <w:color w:val="000000"/>
      <w:kern w:val="0"/>
      <w:sz w:val="22"/>
      <w:lang w:eastAsia="ja-JP"/>
      <w14:ligatures w14:val="none"/>
    </w:rPr>
  </w:style>
  <w:style w:type="paragraph" w:styleId="Header">
    <w:name w:val="header"/>
    <w:basedOn w:val="Normal"/>
    <w:link w:val="HeaderChar"/>
    <w:uiPriority w:val="99"/>
    <w:unhideWhenUsed/>
    <w:rsid w:val="00802C0D"/>
    <w:pPr>
      <w:tabs>
        <w:tab w:val="center" w:pos="4677"/>
        <w:tab w:val="right" w:pos="9355"/>
      </w:tabs>
      <w:spacing w:after="0" w:line="240" w:lineRule="auto"/>
    </w:pPr>
  </w:style>
  <w:style w:type="character" w:customStyle="1" w:styleId="HeaderChar">
    <w:name w:val="Header Char"/>
    <w:basedOn w:val="DefaultParagraphFont"/>
    <w:link w:val="Header"/>
    <w:uiPriority w:val="99"/>
    <w:rsid w:val="00802C0D"/>
  </w:style>
  <w:style w:type="paragraph" w:styleId="Footer">
    <w:name w:val="footer"/>
    <w:basedOn w:val="Normal"/>
    <w:link w:val="FooterChar"/>
    <w:uiPriority w:val="99"/>
    <w:unhideWhenUsed/>
    <w:rsid w:val="00802C0D"/>
    <w:pPr>
      <w:tabs>
        <w:tab w:val="center" w:pos="4677"/>
        <w:tab w:val="right" w:pos="9355"/>
      </w:tabs>
      <w:spacing w:after="0" w:line="240" w:lineRule="auto"/>
    </w:pPr>
  </w:style>
  <w:style w:type="character" w:customStyle="1" w:styleId="FooterChar">
    <w:name w:val="Footer Char"/>
    <w:basedOn w:val="DefaultParagraphFont"/>
    <w:link w:val="Footer"/>
    <w:uiPriority w:val="99"/>
    <w:rsid w:val="00802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016613">
      <w:bodyDiv w:val="1"/>
      <w:marLeft w:val="0"/>
      <w:marRight w:val="0"/>
      <w:marTop w:val="0"/>
      <w:marBottom w:val="0"/>
      <w:divBdr>
        <w:top w:val="none" w:sz="0" w:space="0" w:color="auto"/>
        <w:left w:val="none" w:sz="0" w:space="0" w:color="auto"/>
        <w:bottom w:val="none" w:sz="0" w:space="0" w:color="auto"/>
        <w:right w:val="none" w:sz="0" w:space="0" w:color="auto"/>
      </w:divBdr>
    </w:div>
    <w:div w:id="140768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3682</TotalTime>
  <Pages>29</Pages>
  <Words>9312</Words>
  <Characters>53081</Characters>
  <Application>Microsoft Office Word</Application>
  <DocSecurity>0</DocSecurity>
  <Lines>442</Lines>
  <Paragraphs>124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abutalibov anar</dc:creator>
  <cp:keywords/>
  <dc:description/>
  <cp:lastModifiedBy>computron</cp:lastModifiedBy>
  <cp:revision>187</cp:revision>
  <dcterms:created xsi:type="dcterms:W3CDTF">2026-03-21T12:16:00Z</dcterms:created>
  <dcterms:modified xsi:type="dcterms:W3CDTF">2026-10-28T07:13:00Z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7c846fe5-e4ff-4c23-b6f9-6234ee521042</vt:lpwstr>
  </property>
</Properties>
</file>